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62C" w:rsidRDefault="003E262C" w:rsidP="003E262C">
      <w:pPr>
        <w:pStyle w:val="Default"/>
      </w:pPr>
    </w:p>
    <w:p w:rsidR="003E262C" w:rsidRDefault="00612993" w:rsidP="003E262C">
      <w:pPr>
        <w:jc w:val="center"/>
        <w:rPr>
          <w:b/>
          <w:bCs/>
          <w:sz w:val="28"/>
          <w:szCs w:val="28"/>
        </w:rPr>
      </w:pPr>
      <w:r>
        <w:rPr>
          <w:b/>
          <w:bCs/>
          <w:sz w:val="28"/>
          <w:szCs w:val="28"/>
        </w:rPr>
        <w:t>Závěrečný účet</w:t>
      </w:r>
      <w:r w:rsidR="003E262C">
        <w:rPr>
          <w:b/>
          <w:bCs/>
          <w:sz w:val="28"/>
          <w:szCs w:val="28"/>
        </w:rPr>
        <w:t xml:space="preserve"> </w:t>
      </w:r>
      <w:r>
        <w:rPr>
          <w:b/>
          <w:bCs/>
          <w:sz w:val="28"/>
          <w:szCs w:val="28"/>
        </w:rPr>
        <w:t>O</w:t>
      </w:r>
      <w:r w:rsidR="003E262C">
        <w:rPr>
          <w:b/>
          <w:bCs/>
          <w:sz w:val="28"/>
          <w:szCs w:val="28"/>
        </w:rPr>
        <w:t>bec Žalany</w:t>
      </w:r>
      <w:bookmarkStart w:id="0" w:name="_GoBack"/>
      <w:bookmarkEnd w:id="0"/>
    </w:p>
    <w:tbl>
      <w:tblPr>
        <w:tblW w:w="8580" w:type="dxa"/>
        <w:tblInd w:w="55" w:type="dxa"/>
        <w:tblCellMar>
          <w:left w:w="70" w:type="dxa"/>
          <w:right w:w="70" w:type="dxa"/>
        </w:tblCellMar>
        <w:tblLook w:val="0000" w:firstRow="0" w:lastRow="0" w:firstColumn="0" w:lastColumn="0" w:noHBand="0" w:noVBand="0"/>
      </w:tblPr>
      <w:tblGrid>
        <w:gridCol w:w="2100"/>
        <w:gridCol w:w="6480"/>
      </w:tblGrid>
      <w:tr w:rsidR="003E262C" w:rsidRPr="00A319FE" w:rsidTr="00312CB6">
        <w:trPr>
          <w:trHeight w:val="225"/>
        </w:trPr>
        <w:tc>
          <w:tcPr>
            <w:tcW w:w="2100" w:type="dxa"/>
            <w:tcBorders>
              <w:top w:val="single" w:sz="4" w:space="0" w:color="auto"/>
              <w:left w:val="single" w:sz="4" w:space="0" w:color="auto"/>
              <w:bottom w:val="single" w:sz="4" w:space="0" w:color="auto"/>
              <w:right w:val="single" w:sz="4" w:space="0" w:color="auto"/>
            </w:tcBorders>
            <w:shd w:val="clear" w:color="auto" w:fill="C0C0C0"/>
          </w:tcPr>
          <w:p w:rsidR="003E262C" w:rsidRPr="00A319FE" w:rsidRDefault="003E262C" w:rsidP="00312CB6">
            <w:pPr>
              <w:rPr>
                <w:rFonts w:ascii="Arial" w:hAnsi="Arial" w:cs="Arial"/>
                <w:sz w:val="18"/>
                <w:szCs w:val="18"/>
              </w:rPr>
            </w:pPr>
            <w:r w:rsidRPr="00A319FE">
              <w:rPr>
                <w:rFonts w:ascii="Arial" w:hAnsi="Arial" w:cs="Arial"/>
                <w:sz w:val="18"/>
                <w:szCs w:val="18"/>
              </w:rPr>
              <w:t xml:space="preserve">Název obce: </w:t>
            </w:r>
          </w:p>
        </w:tc>
        <w:tc>
          <w:tcPr>
            <w:tcW w:w="6480" w:type="dxa"/>
            <w:tcBorders>
              <w:top w:val="single" w:sz="4" w:space="0" w:color="auto"/>
              <w:left w:val="nil"/>
              <w:bottom w:val="single" w:sz="4" w:space="0" w:color="auto"/>
              <w:right w:val="single" w:sz="4" w:space="0" w:color="auto"/>
            </w:tcBorders>
            <w:shd w:val="clear" w:color="auto" w:fill="auto"/>
          </w:tcPr>
          <w:p w:rsidR="003E262C" w:rsidRPr="00DA7EBD" w:rsidRDefault="003E262C" w:rsidP="00312CB6">
            <w:pPr>
              <w:rPr>
                <w:rFonts w:ascii="Arial" w:hAnsi="Arial" w:cs="Arial"/>
                <w:b/>
                <w:sz w:val="24"/>
                <w:szCs w:val="24"/>
              </w:rPr>
            </w:pPr>
            <w:r w:rsidRPr="005D2C05">
              <w:rPr>
                <w:rFonts w:ascii="Arial" w:hAnsi="Arial" w:cs="Arial"/>
                <w:sz w:val="32"/>
                <w:szCs w:val="32"/>
              </w:rPr>
              <w:t> </w:t>
            </w:r>
            <w:r w:rsidRPr="00DA7EBD">
              <w:rPr>
                <w:rFonts w:ascii="Arial" w:hAnsi="Arial" w:cs="Arial"/>
                <w:b/>
                <w:sz w:val="24"/>
                <w:szCs w:val="24"/>
              </w:rPr>
              <w:t>Obec Žalany</w:t>
            </w:r>
          </w:p>
        </w:tc>
      </w:tr>
      <w:tr w:rsidR="003E262C" w:rsidRPr="00A319FE" w:rsidTr="00312CB6">
        <w:trPr>
          <w:trHeight w:val="225"/>
        </w:trPr>
        <w:tc>
          <w:tcPr>
            <w:tcW w:w="2100" w:type="dxa"/>
            <w:tcBorders>
              <w:top w:val="nil"/>
              <w:left w:val="single" w:sz="4" w:space="0" w:color="auto"/>
              <w:bottom w:val="single" w:sz="4" w:space="0" w:color="auto"/>
              <w:right w:val="single" w:sz="4" w:space="0" w:color="auto"/>
            </w:tcBorders>
            <w:shd w:val="clear" w:color="auto" w:fill="C0C0C0"/>
          </w:tcPr>
          <w:p w:rsidR="003E262C" w:rsidRPr="00A319FE" w:rsidRDefault="003E262C" w:rsidP="00312CB6">
            <w:pPr>
              <w:rPr>
                <w:rFonts w:ascii="Arial" w:hAnsi="Arial" w:cs="Arial"/>
                <w:sz w:val="18"/>
                <w:szCs w:val="18"/>
              </w:rPr>
            </w:pPr>
            <w:r w:rsidRPr="00A319FE">
              <w:rPr>
                <w:rFonts w:ascii="Arial" w:hAnsi="Arial" w:cs="Arial"/>
                <w:sz w:val="18"/>
                <w:szCs w:val="18"/>
              </w:rPr>
              <w:t>Adresa</w:t>
            </w:r>
          </w:p>
        </w:tc>
        <w:tc>
          <w:tcPr>
            <w:tcW w:w="6480" w:type="dxa"/>
            <w:tcBorders>
              <w:top w:val="nil"/>
              <w:left w:val="nil"/>
              <w:bottom w:val="single" w:sz="4" w:space="0" w:color="auto"/>
              <w:right w:val="single" w:sz="4" w:space="0" w:color="auto"/>
            </w:tcBorders>
            <w:shd w:val="clear" w:color="auto" w:fill="auto"/>
          </w:tcPr>
          <w:p w:rsidR="003E262C" w:rsidRPr="00DA7EBD" w:rsidRDefault="003E262C" w:rsidP="00312CB6">
            <w:pPr>
              <w:rPr>
                <w:rFonts w:ascii="Arial" w:hAnsi="Arial" w:cs="Arial"/>
                <w:b/>
                <w:sz w:val="24"/>
                <w:szCs w:val="24"/>
              </w:rPr>
            </w:pPr>
            <w:r w:rsidRPr="00A319FE">
              <w:rPr>
                <w:rFonts w:ascii="Arial" w:hAnsi="Arial" w:cs="Arial"/>
                <w:sz w:val="18"/>
                <w:szCs w:val="18"/>
              </w:rPr>
              <w:t> </w:t>
            </w:r>
            <w:r w:rsidRPr="00DA7EBD">
              <w:rPr>
                <w:rFonts w:ascii="Arial" w:hAnsi="Arial" w:cs="Arial"/>
                <w:b/>
                <w:sz w:val="24"/>
                <w:szCs w:val="24"/>
              </w:rPr>
              <w:t xml:space="preserve">Pražská </w:t>
            </w:r>
            <w:r w:rsidR="005D2C05" w:rsidRPr="00DA7EBD">
              <w:rPr>
                <w:rFonts w:ascii="Arial" w:hAnsi="Arial" w:cs="Arial"/>
                <w:b/>
                <w:sz w:val="24"/>
                <w:szCs w:val="24"/>
              </w:rPr>
              <w:t>93, 417 63 Žalany</w:t>
            </w:r>
          </w:p>
        </w:tc>
      </w:tr>
      <w:tr w:rsidR="003E262C" w:rsidRPr="00A319FE" w:rsidTr="00312CB6">
        <w:trPr>
          <w:trHeight w:val="225"/>
        </w:trPr>
        <w:tc>
          <w:tcPr>
            <w:tcW w:w="2100" w:type="dxa"/>
            <w:tcBorders>
              <w:top w:val="nil"/>
              <w:left w:val="single" w:sz="4" w:space="0" w:color="auto"/>
              <w:bottom w:val="single" w:sz="4" w:space="0" w:color="auto"/>
              <w:right w:val="single" w:sz="4" w:space="0" w:color="auto"/>
            </w:tcBorders>
            <w:shd w:val="clear" w:color="auto" w:fill="C0C0C0"/>
          </w:tcPr>
          <w:p w:rsidR="003E262C" w:rsidRPr="00A319FE" w:rsidRDefault="003E262C" w:rsidP="00312CB6">
            <w:pPr>
              <w:rPr>
                <w:rFonts w:ascii="Arial" w:hAnsi="Arial" w:cs="Arial"/>
                <w:sz w:val="18"/>
                <w:szCs w:val="18"/>
              </w:rPr>
            </w:pPr>
            <w:r w:rsidRPr="00A319FE">
              <w:rPr>
                <w:rFonts w:ascii="Arial" w:hAnsi="Arial" w:cs="Arial"/>
                <w:sz w:val="18"/>
                <w:szCs w:val="18"/>
              </w:rPr>
              <w:t>IČ:</w:t>
            </w:r>
          </w:p>
        </w:tc>
        <w:tc>
          <w:tcPr>
            <w:tcW w:w="6480" w:type="dxa"/>
            <w:tcBorders>
              <w:top w:val="nil"/>
              <w:left w:val="nil"/>
              <w:bottom w:val="single" w:sz="4" w:space="0" w:color="auto"/>
              <w:right w:val="single" w:sz="4" w:space="0" w:color="auto"/>
            </w:tcBorders>
            <w:shd w:val="clear" w:color="auto" w:fill="auto"/>
          </w:tcPr>
          <w:p w:rsidR="003E262C" w:rsidRPr="00DA7EBD" w:rsidRDefault="003E262C" w:rsidP="00312CB6">
            <w:pPr>
              <w:rPr>
                <w:rFonts w:ascii="Arial" w:hAnsi="Arial" w:cs="Arial"/>
                <w:b/>
                <w:sz w:val="24"/>
                <w:szCs w:val="24"/>
              </w:rPr>
            </w:pPr>
            <w:r w:rsidRPr="00A319FE">
              <w:rPr>
                <w:rFonts w:ascii="Arial" w:hAnsi="Arial" w:cs="Arial"/>
                <w:sz w:val="18"/>
                <w:szCs w:val="18"/>
              </w:rPr>
              <w:t> </w:t>
            </w:r>
            <w:r w:rsidR="005D2C05" w:rsidRPr="00DA7EBD">
              <w:rPr>
                <w:rFonts w:ascii="Arial" w:hAnsi="Arial" w:cs="Arial"/>
                <w:b/>
                <w:sz w:val="24"/>
                <w:szCs w:val="24"/>
              </w:rPr>
              <w:t>0026655</w:t>
            </w:r>
          </w:p>
        </w:tc>
      </w:tr>
    </w:tbl>
    <w:p w:rsidR="00F34837" w:rsidRDefault="00612993" w:rsidP="003E262C">
      <w:pPr>
        <w:rPr>
          <w:b/>
          <w:bCs/>
          <w:sz w:val="28"/>
          <w:szCs w:val="28"/>
        </w:rPr>
      </w:pPr>
    </w:p>
    <w:p w:rsidR="003E262C" w:rsidRDefault="003E262C" w:rsidP="003E262C">
      <w:pPr>
        <w:pStyle w:val="Pa13"/>
        <w:spacing w:before="160" w:after="100"/>
        <w:jc w:val="center"/>
        <w:rPr>
          <w:sz w:val="22"/>
          <w:szCs w:val="22"/>
        </w:rPr>
      </w:pPr>
      <w:r>
        <w:rPr>
          <w:b/>
          <w:bCs/>
          <w:sz w:val="22"/>
          <w:szCs w:val="22"/>
        </w:rPr>
        <w:t>Závěrečný účet OBCE za rok 2016</w:t>
      </w:r>
    </w:p>
    <w:p w:rsidR="003E262C" w:rsidRDefault="003E262C" w:rsidP="003E262C">
      <w:pPr>
        <w:pStyle w:val="Pa63"/>
        <w:jc w:val="both"/>
        <w:rPr>
          <w:rFonts w:cs="Minion Pro"/>
          <w:sz w:val="22"/>
          <w:szCs w:val="22"/>
        </w:rPr>
      </w:pPr>
      <w:r>
        <w:rPr>
          <w:rFonts w:cs="Minion Pro"/>
          <w:sz w:val="22"/>
          <w:szCs w:val="22"/>
        </w:rPr>
        <w:t>(§17 zákona č. 250/2000 Sb., o rozpočtových pravidlech územních rozpočtů, ve znění plat</w:t>
      </w:r>
      <w:r>
        <w:rPr>
          <w:rFonts w:cs="Minion Pro"/>
          <w:sz w:val="22"/>
          <w:szCs w:val="22"/>
        </w:rPr>
        <w:softHyphen/>
        <w:t xml:space="preserve">ných předpisů) </w:t>
      </w:r>
    </w:p>
    <w:p w:rsidR="003E262C" w:rsidRDefault="003E262C" w:rsidP="003E262C">
      <w:pPr>
        <w:pStyle w:val="Pa182"/>
        <w:spacing w:before="40"/>
        <w:ind w:left="560" w:hanging="560"/>
        <w:jc w:val="both"/>
        <w:rPr>
          <w:rFonts w:cs="Minion Pro"/>
          <w:sz w:val="23"/>
          <w:szCs w:val="23"/>
        </w:rPr>
      </w:pPr>
      <w:r>
        <w:rPr>
          <w:rFonts w:cs="Minion Pro"/>
          <w:b/>
          <w:bCs/>
          <w:sz w:val="23"/>
          <w:szCs w:val="23"/>
        </w:rPr>
        <w:t xml:space="preserve">1) Údaje o plnění příjmů a výdajů za rok 2016 </w:t>
      </w:r>
    </w:p>
    <w:p w:rsidR="003E262C" w:rsidRPr="00A22731" w:rsidRDefault="003E262C" w:rsidP="003E262C">
      <w:pPr>
        <w:rPr>
          <w:rFonts w:cs="Minion Pro"/>
          <w:b/>
        </w:rPr>
      </w:pPr>
      <w:r w:rsidRPr="00A22731">
        <w:rPr>
          <w:rFonts w:cs="Minion Pro"/>
          <w:b/>
        </w:rPr>
        <w:t>(údaje jsou v tis. Kč)</w:t>
      </w:r>
    </w:p>
    <w:tbl>
      <w:tblPr>
        <w:tblW w:w="7356" w:type="dxa"/>
        <w:tblInd w:w="55" w:type="dxa"/>
        <w:tblCellMar>
          <w:left w:w="70" w:type="dxa"/>
          <w:right w:w="70" w:type="dxa"/>
        </w:tblCellMar>
        <w:tblLook w:val="0000" w:firstRow="0" w:lastRow="0" w:firstColumn="0" w:lastColumn="0" w:noHBand="0" w:noVBand="0"/>
      </w:tblPr>
      <w:tblGrid>
        <w:gridCol w:w="2655"/>
        <w:gridCol w:w="1080"/>
        <w:gridCol w:w="1080"/>
        <w:gridCol w:w="1260"/>
        <w:gridCol w:w="1281"/>
      </w:tblGrid>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31483" w:rsidRPr="00A319FE" w:rsidRDefault="00131483" w:rsidP="00312CB6">
            <w:pPr>
              <w:jc w:val="center"/>
              <w:rPr>
                <w:rFonts w:ascii="Arial" w:hAnsi="Arial" w:cs="Arial"/>
                <w:sz w:val="18"/>
                <w:szCs w:val="18"/>
              </w:rPr>
            </w:pPr>
            <w:r w:rsidRPr="00A319FE">
              <w:rPr>
                <w:rFonts w:ascii="Arial" w:hAnsi="Arial" w:cs="Arial"/>
                <w:sz w:val="18"/>
                <w:szCs w:val="18"/>
              </w:rPr>
              <w:t>Název položky</w:t>
            </w:r>
          </w:p>
        </w:tc>
        <w:tc>
          <w:tcPr>
            <w:tcW w:w="1080" w:type="dxa"/>
            <w:tcBorders>
              <w:top w:val="single" w:sz="4" w:space="0" w:color="auto"/>
              <w:left w:val="nil"/>
              <w:bottom w:val="single" w:sz="4" w:space="0" w:color="auto"/>
              <w:right w:val="single" w:sz="4" w:space="0" w:color="auto"/>
            </w:tcBorders>
            <w:shd w:val="clear" w:color="auto" w:fill="C0C0C0"/>
            <w:noWrap/>
            <w:vAlign w:val="bottom"/>
          </w:tcPr>
          <w:p w:rsidR="00131483" w:rsidRPr="00A319FE" w:rsidRDefault="00131483" w:rsidP="00131483">
            <w:pPr>
              <w:jc w:val="center"/>
              <w:rPr>
                <w:rFonts w:ascii="Arial" w:hAnsi="Arial" w:cs="Arial"/>
                <w:sz w:val="18"/>
                <w:szCs w:val="18"/>
              </w:rPr>
            </w:pPr>
            <w:smartTag w:uri="urn:schemas-microsoft-com:office:smarttags" w:element="PersonName">
              <w:r w:rsidRPr="00A319FE">
                <w:rPr>
                  <w:rFonts w:ascii="Arial" w:hAnsi="Arial" w:cs="Arial"/>
                  <w:sz w:val="18"/>
                  <w:szCs w:val="18"/>
                </w:rPr>
                <w:t>S</w:t>
              </w:r>
            </w:smartTag>
            <w:r w:rsidRPr="00A319FE">
              <w:rPr>
                <w:rFonts w:ascii="Arial" w:hAnsi="Arial" w:cs="Arial"/>
                <w:sz w:val="18"/>
                <w:szCs w:val="18"/>
              </w:rPr>
              <w:t>chv</w:t>
            </w:r>
            <w:r>
              <w:rPr>
                <w:rFonts w:ascii="Arial" w:hAnsi="Arial" w:cs="Arial"/>
                <w:sz w:val="18"/>
                <w:szCs w:val="18"/>
              </w:rPr>
              <w:t>álený rozpočet</w:t>
            </w:r>
          </w:p>
        </w:tc>
        <w:tc>
          <w:tcPr>
            <w:tcW w:w="1080" w:type="dxa"/>
            <w:tcBorders>
              <w:top w:val="single" w:sz="4" w:space="0" w:color="auto"/>
              <w:left w:val="nil"/>
              <w:bottom w:val="single" w:sz="4" w:space="0" w:color="auto"/>
              <w:right w:val="single" w:sz="4" w:space="0" w:color="auto"/>
            </w:tcBorders>
            <w:shd w:val="clear" w:color="auto" w:fill="C0C0C0"/>
            <w:noWrap/>
            <w:vAlign w:val="bottom"/>
          </w:tcPr>
          <w:p w:rsidR="00131483" w:rsidRPr="00A319FE" w:rsidRDefault="00131483" w:rsidP="00131483">
            <w:pPr>
              <w:jc w:val="center"/>
              <w:rPr>
                <w:rFonts w:ascii="Arial" w:hAnsi="Arial" w:cs="Arial"/>
                <w:sz w:val="18"/>
                <w:szCs w:val="18"/>
              </w:rPr>
            </w:pPr>
            <w:r w:rsidRPr="00A319FE">
              <w:rPr>
                <w:rFonts w:ascii="Arial" w:hAnsi="Arial" w:cs="Arial"/>
                <w:sz w:val="18"/>
                <w:szCs w:val="18"/>
              </w:rPr>
              <w:t>Upr</w:t>
            </w:r>
            <w:r>
              <w:rPr>
                <w:rFonts w:ascii="Arial" w:hAnsi="Arial" w:cs="Arial"/>
                <w:sz w:val="18"/>
                <w:szCs w:val="18"/>
              </w:rPr>
              <w:t xml:space="preserve">avený </w:t>
            </w:r>
            <w:r w:rsidRPr="00A319FE">
              <w:rPr>
                <w:rFonts w:ascii="Arial" w:hAnsi="Arial" w:cs="Arial"/>
                <w:sz w:val="18"/>
                <w:szCs w:val="18"/>
              </w:rPr>
              <w:t>rozp</w:t>
            </w:r>
            <w:r>
              <w:rPr>
                <w:rFonts w:ascii="Arial" w:hAnsi="Arial" w:cs="Arial"/>
                <w:sz w:val="18"/>
                <w:szCs w:val="18"/>
              </w:rPr>
              <w:t>očet</w:t>
            </w:r>
          </w:p>
        </w:tc>
        <w:tc>
          <w:tcPr>
            <w:tcW w:w="1260" w:type="dxa"/>
            <w:tcBorders>
              <w:top w:val="single" w:sz="4" w:space="0" w:color="auto"/>
              <w:left w:val="nil"/>
              <w:bottom w:val="single" w:sz="4" w:space="0" w:color="auto"/>
              <w:right w:val="single" w:sz="4" w:space="0" w:color="auto"/>
            </w:tcBorders>
            <w:shd w:val="clear" w:color="auto" w:fill="C0C0C0"/>
            <w:noWrap/>
            <w:vAlign w:val="bottom"/>
          </w:tcPr>
          <w:p w:rsidR="00131483" w:rsidRPr="00A319FE" w:rsidRDefault="00131483" w:rsidP="00131483">
            <w:pPr>
              <w:jc w:val="center"/>
              <w:rPr>
                <w:rFonts w:ascii="Arial" w:hAnsi="Arial" w:cs="Arial"/>
                <w:sz w:val="18"/>
                <w:szCs w:val="18"/>
              </w:rPr>
            </w:pPr>
            <w:r w:rsidRPr="00A319FE">
              <w:rPr>
                <w:rFonts w:ascii="Arial" w:hAnsi="Arial" w:cs="Arial"/>
                <w:sz w:val="18"/>
                <w:szCs w:val="18"/>
              </w:rPr>
              <w:t>Výsledek</w:t>
            </w:r>
            <w:r>
              <w:rPr>
                <w:rFonts w:ascii="Arial" w:hAnsi="Arial" w:cs="Arial"/>
                <w:sz w:val="18"/>
                <w:szCs w:val="18"/>
              </w:rPr>
              <w:t xml:space="preserve"> – plnění k 31.12.2016</w:t>
            </w:r>
          </w:p>
        </w:tc>
        <w:tc>
          <w:tcPr>
            <w:tcW w:w="1281" w:type="dxa"/>
            <w:tcBorders>
              <w:top w:val="single" w:sz="4" w:space="0" w:color="auto"/>
              <w:left w:val="nil"/>
              <w:bottom w:val="single" w:sz="4" w:space="0" w:color="auto"/>
              <w:right w:val="single" w:sz="4" w:space="0" w:color="auto"/>
            </w:tcBorders>
            <w:shd w:val="clear" w:color="auto" w:fill="C0C0C0"/>
          </w:tcPr>
          <w:p w:rsidR="00131483" w:rsidRDefault="00131483" w:rsidP="00131483">
            <w:pPr>
              <w:spacing w:before="240" w:after="0"/>
              <w:jc w:val="center"/>
              <w:rPr>
                <w:rFonts w:ascii="Arial" w:hAnsi="Arial" w:cs="Arial"/>
                <w:sz w:val="18"/>
                <w:szCs w:val="18"/>
              </w:rPr>
            </w:pPr>
            <w:r>
              <w:rPr>
                <w:rFonts w:ascii="Arial" w:hAnsi="Arial" w:cs="Arial"/>
                <w:sz w:val="18"/>
                <w:szCs w:val="18"/>
              </w:rPr>
              <w:t>% plnění k upravenému rozpočtu</w:t>
            </w:r>
          </w:p>
          <w:p w:rsidR="00131483" w:rsidRPr="00A319FE" w:rsidRDefault="00131483" w:rsidP="00131483">
            <w:pPr>
              <w:rPr>
                <w:rFonts w:ascii="Arial" w:hAnsi="Arial" w:cs="Arial"/>
                <w:sz w:val="18"/>
                <w:szCs w:val="18"/>
              </w:rPr>
            </w:pP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color w:val="000000"/>
                <w:sz w:val="18"/>
                <w:szCs w:val="18"/>
              </w:rPr>
            </w:pPr>
            <w:r w:rsidRPr="00A319FE">
              <w:rPr>
                <w:rFonts w:ascii="Arial" w:hAnsi="Arial" w:cs="Arial"/>
                <w:color w:val="000000"/>
                <w:sz w:val="18"/>
                <w:szCs w:val="18"/>
              </w:rPr>
              <w:t>Třída 1 - Daňové příjmy</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7915</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8806</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A6ED1">
            <w:pPr>
              <w:jc w:val="right"/>
              <w:rPr>
                <w:rFonts w:ascii="Arial" w:hAnsi="Arial" w:cs="Arial"/>
                <w:sz w:val="18"/>
                <w:szCs w:val="18"/>
              </w:rPr>
            </w:pPr>
            <w:r>
              <w:rPr>
                <w:rFonts w:ascii="Arial" w:hAnsi="Arial" w:cs="Arial"/>
                <w:sz w:val="18"/>
                <w:szCs w:val="18"/>
              </w:rPr>
              <w:t>8315</w:t>
            </w:r>
          </w:p>
        </w:tc>
        <w:tc>
          <w:tcPr>
            <w:tcW w:w="1281" w:type="dxa"/>
            <w:tcBorders>
              <w:top w:val="nil"/>
              <w:left w:val="nil"/>
              <w:bottom w:val="single" w:sz="4" w:space="0" w:color="auto"/>
              <w:right w:val="single" w:sz="4" w:space="0" w:color="auto"/>
            </w:tcBorders>
          </w:tcPr>
          <w:p w:rsidR="00131483" w:rsidRPr="00A319FE" w:rsidRDefault="00A22731" w:rsidP="00312CB6">
            <w:pPr>
              <w:jc w:val="right"/>
              <w:rPr>
                <w:rFonts w:ascii="Arial" w:hAnsi="Arial" w:cs="Arial"/>
                <w:sz w:val="18"/>
                <w:szCs w:val="18"/>
              </w:rPr>
            </w:pPr>
            <w:r>
              <w:rPr>
                <w:rFonts w:ascii="Arial" w:hAnsi="Arial" w:cs="Arial"/>
                <w:sz w:val="18"/>
                <w:szCs w:val="18"/>
              </w:rPr>
              <w:t>94</w:t>
            </w: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color w:val="000000"/>
                <w:sz w:val="18"/>
                <w:szCs w:val="18"/>
              </w:rPr>
            </w:pPr>
            <w:r w:rsidRPr="00A319FE">
              <w:rPr>
                <w:rFonts w:ascii="Arial" w:hAnsi="Arial" w:cs="Arial"/>
                <w:color w:val="000000"/>
                <w:sz w:val="18"/>
                <w:szCs w:val="18"/>
              </w:rPr>
              <w:t>Třída 2 - Nedaňové příjmy</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A6ED1">
            <w:pPr>
              <w:rPr>
                <w:rFonts w:ascii="Arial" w:hAnsi="Arial" w:cs="Arial"/>
                <w:sz w:val="18"/>
                <w:szCs w:val="18"/>
              </w:rPr>
            </w:pPr>
            <w:r>
              <w:rPr>
                <w:rFonts w:ascii="Arial" w:hAnsi="Arial" w:cs="Arial"/>
                <w:sz w:val="18"/>
                <w:szCs w:val="18"/>
              </w:rPr>
              <w:t xml:space="preserve">          1180</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1419</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1276</w:t>
            </w:r>
          </w:p>
        </w:tc>
        <w:tc>
          <w:tcPr>
            <w:tcW w:w="1281" w:type="dxa"/>
            <w:tcBorders>
              <w:top w:val="nil"/>
              <w:left w:val="nil"/>
              <w:bottom w:val="single" w:sz="4" w:space="0" w:color="auto"/>
              <w:right w:val="single" w:sz="4" w:space="0" w:color="auto"/>
            </w:tcBorders>
          </w:tcPr>
          <w:p w:rsidR="00131483" w:rsidRPr="00A319FE" w:rsidRDefault="00A22731" w:rsidP="00312CB6">
            <w:pPr>
              <w:jc w:val="right"/>
              <w:rPr>
                <w:rFonts w:ascii="Arial" w:hAnsi="Arial" w:cs="Arial"/>
                <w:sz w:val="18"/>
                <w:szCs w:val="18"/>
              </w:rPr>
            </w:pPr>
            <w:r>
              <w:rPr>
                <w:rFonts w:ascii="Arial" w:hAnsi="Arial" w:cs="Arial"/>
                <w:sz w:val="18"/>
                <w:szCs w:val="18"/>
              </w:rPr>
              <w:t>90</w:t>
            </w: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color w:val="000000"/>
                <w:sz w:val="18"/>
                <w:szCs w:val="18"/>
              </w:rPr>
            </w:pPr>
            <w:r w:rsidRPr="00A319FE">
              <w:rPr>
                <w:rFonts w:ascii="Arial" w:hAnsi="Arial" w:cs="Arial"/>
                <w:color w:val="000000"/>
                <w:sz w:val="18"/>
                <w:szCs w:val="18"/>
              </w:rPr>
              <w:t>Třída 3 - Kapitálové příjmy</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200</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200</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15</w:t>
            </w:r>
          </w:p>
        </w:tc>
        <w:tc>
          <w:tcPr>
            <w:tcW w:w="1281" w:type="dxa"/>
            <w:tcBorders>
              <w:top w:val="nil"/>
              <w:left w:val="nil"/>
              <w:bottom w:val="single" w:sz="4" w:space="0" w:color="auto"/>
              <w:right w:val="single" w:sz="4" w:space="0" w:color="auto"/>
            </w:tcBorders>
          </w:tcPr>
          <w:p w:rsidR="00131483" w:rsidRPr="00A319FE" w:rsidRDefault="00A22731" w:rsidP="00312CB6">
            <w:pPr>
              <w:jc w:val="right"/>
              <w:rPr>
                <w:rFonts w:ascii="Arial" w:hAnsi="Arial" w:cs="Arial"/>
                <w:sz w:val="18"/>
                <w:szCs w:val="18"/>
              </w:rPr>
            </w:pPr>
            <w:r>
              <w:rPr>
                <w:rFonts w:ascii="Arial" w:hAnsi="Arial" w:cs="Arial"/>
                <w:sz w:val="18"/>
                <w:szCs w:val="18"/>
              </w:rPr>
              <w:t>8</w:t>
            </w: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color w:val="000000"/>
                <w:sz w:val="18"/>
                <w:szCs w:val="18"/>
              </w:rPr>
            </w:pPr>
            <w:r w:rsidRPr="00A319FE">
              <w:rPr>
                <w:rFonts w:ascii="Arial" w:hAnsi="Arial" w:cs="Arial"/>
                <w:color w:val="000000"/>
                <w:sz w:val="18"/>
                <w:szCs w:val="18"/>
              </w:rPr>
              <w:t>Třída 4 - Přijaté dotace</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592</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2345</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5070</w:t>
            </w:r>
          </w:p>
        </w:tc>
        <w:tc>
          <w:tcPr>
            <w:tcW w:w="1281" w:type="dxa"/>
            <w:tcBorders>
              <w:top w:val="nil"/>
              <w:left w:val="nil"/>
              <w:bottom w:val="single" w:sz="4" w:space="0" w:color="auto"/>
              <w:right w:val="single" w:sz="4" w:space="0" w:color="auto"/>
            </w:tcBorders>
          </w:tcPr>
          <w:p w:rsidR="00131483" w:rsidRPr="00A319FE" w:rsidRDefault="00A22731" w:rsidP="00312CB6">
            <w:pPr>
              <w:jc w:val="right"/>
              <w:rPr>
                <w:rFonts w:ascii="Arial" w:hAnsi="Arial" w:cs="Arial"/>
                <w:sz w:val="18"/>
                <w:szCs w:val="18"/>
              </w:rPr>
            </w:pPr>
            <w:r>
              <w:rPr>
                <w:rFonts w:ascii="Arial" w:hAnsi="Arial" w:cs="Arial"/>
                <w:sz w:val="18"/>
                <w:szCs w:val="18"/>
              </w:rPr>
              <w:t>216</w:t>
            </w: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b/>
                <w:bCs/>
                <w:color w:val="000000"/>
                <w:sz w:val="18"/>
                <w:szCs w:val="18"/>
              </w:rPr>
            </w:pPr>
            <w:r w:rsidRPr="00A319FE">
              <w:rPr>
                <w:rFonts w:ascii="Arial" w:hAnsi="Arial" w:cs="Arial"/>
                <w:b/>
                <w:bCs/>
                <w:color w:val="000000"/>
                <w:sz w:val="18"/>
                <w:szCs w:val="18"/>
              </w:rPr>
              <w:t>Příjmy celkem</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b/>
                <w:bCs/>
                <w:sz w:val="18"/>
                <w:szCs w:val="18"/>
              </w:rPr>
            </w:pPr>
            <w:r>
              <w:rPr>
                <w:rFonts w:ascii="Arial" w:hAnsi="Arial" w:cs="Arial"/>
                <w:b/>
                <w:bCs/>
                <w:sz w:val="18"/>
                <w:szCs w:val="18"/>
              </w:rPr>
              <w:t>9887</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b/>
                <w:bCs/>
                <w:sz w:val="18"/>
                <w:szCs w:val="18"/>
              </w:rPr>
            </w:pPr>
            <w:r>
              <w:rPr>
                <w:rFonts w:ascii="Arial" w:hAnsi="Arial" w:cs="Arial"/>
                <w:b/>
                <w:bCs/>
                <w:sz w:val="18"/>
                <w:szCs w:val="18"/>
              </w:rPr>
              <w:t>12770</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b/>
                <w:bCs/>
                <w:sz w:val="18"/>
                <w:szCs w:val="18"/>
              </w:rPr>
            </w:pPr>
            <w:r>
              <w:rPr>
                <w:rFonts w:ascii="Arial" w:hAnsi="Arial" w:cs="Arial"/>
                <w:b/>
                <w:bCs/>
                <w:sz w:val="18"/>
                <w:szCs w:val="18"/>
              </w:rPr>
              <w:t>14677</w:t>
            </w:r>
          </w:p>
        </w:tc>
        <w:tc>
          <w:tcPr>
            <w:tcW w:w="1281" w:type="dxa"/>
            <w:tcBorders>
              <w:top w:val="nil"/>
              <w:left w:val="nil"/>
              <w:bottom w:val="single" w:sz="4" w:space="0" w:color="auto"/>
              <w:right w:val="single" w:sz="4" w:space="0" w:color="auto"/>
            </w:tcBorders>
          </w:tcPr>
          <w:p w:rsidR="00131483" w:rsidRPr="00A319FE" w:rsidRDefault="00A22731" w:rsidP="00312CB6">
            <w:pPr>
              <w:jc w:val="right"/>
              <w:rPr>
                <w:rFonts w:ascii="Arial" w:hAnsi="Arial" w:cs="Arial"/>
                <w:b/>
                <w:bCs/>
                <w:sz w:val="18"/>
                <w:szCs w:val="18"/>
              </w:rPr>
            </w:pPr>
            <w:r>
              <w:rPr>
                <w:rFonts w:ascii="Arial" w:hAnsi="Arial" w:cs="Arial"/>
                <w:b/>
                <w:bCs/>
                <w:sz w:val="18"/>
                <w:szCs w:val="18"/>
              </w:rPr>
              <w:t>115</w:t>
            </w:r>
          </w:p>
        </w:tc>
      </w:tr>
      <w:tr w:rsidR="00131483" w:rsidRPr="00A319FE" w:rsidTr="00475BD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color w:val="000000"/>
                <w:sz w:val="18"/>
                <w:szCs w:val="18"/>
              </w:rPr>
            </w:pPr>
            <w:r w:rsidRPr="00A319FE">
              <w:rPr>
                <w:rFonts w:ascii="Arial" w:hAnsi="Arial" w:cs="Arial"/>
                <w:color w:val="000000"/>
                <w:sz w:val="18"/>
                <w:szCs w:val="18"/>
              </w:rPr>
              <w:t>Třída 5 - Běžné výdaje</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8568</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10915</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11010</w:t>
            </w:r>
          </w:p>
        </w:tc>
        <w:tc>
          <w:tcPr>
            <w:tcW w:w="1281" w:type="dxa"/>
            <w:tcBorders>
              <w:top w:val="nil"/>
              <w:left w:val="nil"/>
              <w:bottom w:val="single" w:sz="4" w:space="0" w:color="auto"/>
              <w:right w:val="single" w:sz="4" w:space="0" w:color="auto"/>
            </w:tcBorders>
          </w:tcPr>
          <w:p w:rsidR="00131483" w:rsidRPr="00A319FE" w:rsidRDefault="00A22731" w:rsidP="00312CB6">
            <w:pPr>
              <w:jc w:val="right"/>
              <w:rPr>
                <w:rFonts w:ascii="Arial" w:hAnsi="Arial" w:cs="Arial"/>
                <w:sz w:val="18"/>
                <w:szCs w:val="18"/>
              </w:rPr>
            </w:pPr>
            <w:r>
              <w:rPr>
                <w:rFonts w:ascii="Arial" w:hAnsi="Arial" w:cs="Arial"/>
                <w:sz w:val="18"/>
                <w:szCs w:val="18"/>
              </w:rPr>
              <w:t>101</w:t>
            </w:r>
          </w:p>
        </w:tc>
      </w:tr>
      <w:tr w:rsidR="00131483" w:rsidRPr="00A319FE" w:rsidTr="00475BD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color w:val="000000"/>
                <w:sz w:val="18"/>
                <w:szCs w:val="18"/>
              </w:rPr>
            </w:pPr>
            <w:r w:rsidRPr="00A319FE">
              <w:rPr>
                <w:rFonts w:ascii="Arial" w:hAnsi="Arial" w:cs="Arial"/>
                <w:color w:val="000000"/>
                <w:sz w:val="18"/>
                <w:szCs w:val="18"/>
              </w:rPr>
              <w:lastRenderedPageBreak/>
              <w:t>Třída 6 - Kapitálové výdaje</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2800</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2952</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sz w:val="18"/>
                <w:szCs w:val="18"/>
              </w:rPr>
            </w:pPr>
            <w:r>
              <w:rPr>
                <w:rFonts w:ascii="Arial" w:hAnsi="Arial" w:cs="Arial"/>
                <w:sz w:val="18"/>
                <w:szCs w:val="18"/>
              </w:rPr>
              <w:t>852</w:t>
            </w:r>
          </w:p>
        </w:tc>
        <w:tc>
          <w:tcPr>
            <w:tcW w:w="1281" w:type="dxa"/>
            <w:tcBorders>
              <w:top w:val="single" w:sz="4" w:space="0" w:color="auto"/>
              <w:left w:val="nil"/>
              <w:bottom w:val="single" w:sz="4" w:space="0" w:color="auto"/>
              <w:right w:val="single" w:sz="4" w:space="0" w:color="auto"/>
            </w:tcBorders>
          </w:tcPr>
          <w:p w:rsidR="00131483" w:rsidRPr="00A319FE" w:rsidRDefault="00A22731" w:rsidP="00312CB6">
            <w:pPr>
              <w:jc w:val="right"/>
              <w:rPr>
                <w:rFonts w:ascii="Arial" w:hAnsi="Arial" w:cs="Arial"/>
                <w:sz w:val="18"/>
                <w:szCs w:val="18"/>
              </w:rPr>
            </w:pPr>
            <w:r>
              <w:rPr>
                <w:rFonts w:ascii="Arial" w:hAnsi="Arial" w:cs="Arial"/>
                <w:sz w:val="18"/>
                <w:szCs w:val="18"/>
              </w:rPr>
              <w:t>29</w:t>
            </w: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b/>
                <w:bCs/>
                <w:color w:val="000000"/>
                <w:sz w:val="18"/>
                <w:szCs w:val="18"/>
              </w:rPr>
            </w:pPr>
            <w:r w:rsidRPr="00A319FE">
              <w:rPr>
                <w:rFonts w:ascii="Arial" w:hAnsi="Arial" w:cs="Arial"/>
                <w:b/>
                <w:bCs/>
                <w:color w:val="000000"/>
                <w:sz w:val="18"/>
                <w:szCs w:val="18"/>
              </w:rPr>
              <w:t>Výdaje celkem</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b/>
                <w:bCs/>
                <w:sz w:val="18"/>
                <w:szCs w:val="18"/>
              </w:rPr>
            </w:pPr>
            <w:r>
              <w:rPr>
                <w:rFonts w:ascii="Arial" w:hAnsi="Arial" w:cs="Arial"/>
                <w:b/>
                <w:bCs/>
                <w:sz w:val="18"/>
                <w:szCs w:val="18"/>
              </w:rPr>
              <w:t>11368</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b/>
                <w:bCs/>
                <w:sz w:val="18"/>
                <w:szCs w:val="18"/>
              </w:rPr>
            </w:pPr>
            <w:r>
              <w:rPr>
                <w:rFonts w:ascii="Arial" w:hAnsi="Arial" w:cs="Arial"/>
                <w:b/>
                <w:bCs/>
                <w:sz w:val="18"/>
                <w:szCs w:val="18"/>
              </w:rPr>
              <w:t>13867</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22731" w:rsidP="00312CB6">
            <w:pPr>
              <w:jc w:val="right"/>
              <w:rPr>
                <w:rFonts w:ascii="Arial" w:hAnsi="Arial" w:cs="Arial"/>
                <w:b/>
                <w:bCs/>
                <w:sz w:val="18"/>
                <w:szCs w:val="18"/>
              </w:rPr>
            </w:pPr>
            <w:r>
              <w:rPr>
                <w:rFonts w:ascii="Arial" w:hAnsi="Arial" w:cs="Arial"/>
                <w:b/>
                <w:bCs/>
                <w:sz w:val="18"/>
                <w:szCs w:val="18"/>
              </w:rPr>
              <w:t>11862</w:t>
            </w:r>
          </w:p>
        </w:tc>
        <w:tc>
          <w:tcPr>
            <w:tcW w:w="1281" w:type="dxa"/>
            <w:tcBorders>
              <w:top w:val="nil"/>
              <w:left w:val="nil"/>
              <w:bottom w:val="single" w:sz="4" w:space="0" w:color="auto"/>
              <w:right w:val="single" w:sz="4" w:space="0" w:color="auto"/>
            </w:tcBorders>
          </w:tcPr>
          <w:p w:rsidR="00131483" w:rsidRPr="00A319FE" w:rsidRDefault="00A22731" w:rsidP="00312CB6">
            <w:pPr>
              <w:jc w:val="right"/>
              <w:rPr>
                <w:rFonts w:ascii="Arial" w:hAnsi="Arial" w:cs="Arial"/>
                <w:b/>
                <w:bCs/>
                <w:sz w:val="18"/>
                <w:szCs w:val="18"/>
              </w:rPr>
            </w:pPr>
            <w:r>
              <w:rPr>
                <w:rFonts w:ascii="Arial" w:hAnsi="Arial" w:cs="Arial"/>
                <w:b/>
                <w:bCs/>
                <w:sz w:val="18"/>
                <w:szCs w:val="18"/>
              </w:rPr>
              <w:t>86</w:t>
            </w: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A319FE" w:rsidRDefault="00131483" w:rsidP="00312CB6">
            <w:pPr>
              <w:rPr>
                <w:rFonts w:ascii="Arial" w:hAnsi="Arial" w:cs="Arial"/>
                <w:b/>
                <w:color w:val="000000"/>
                <w:sz w:val="18"/>
                <w:szCs w:val="18"/>
              </w:rPr>
            </w:pPr>
            <w:r>
              <w:rPr>
                <w:rFonts w:ascii="Arial" w:hAnsi="Arial" w:cs="Arial"/>
                <w:b/>
                <w:color w:val="000000"/>
                <w:sz w:val="18"/>
                <w:szCs w:val="18"/>
              </w:rPr>
              <w:t xml:space="preserve">Saldo - Příjmy – výdaje </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3448EF" w:rsidP="00312CB6">
            <w:pPr>
              <w:rPr>
                <w:rFonts w:ascii="Arial" w:hAnsi="Arial" w:cs="Arial"/>
                <w:b/>
                <w:bCs/>
                <w:sz w:val="18"/>
                <w:szCs w:val="18"/>
              </w:rPr>
            </w:pPr>
            <w:r>
              <w:rPr>
                <w:rFonts w:ascii="Arial" w:hAnsi="Arial" w:cs="Arial"/>
                <w:b/>
                <w:bCs/>
                <w:sz w:val="18"/>
                <w:szCs w:val="18"/>
              </w:rPr>
              <w:t xml:space="preserve">        </w:t>
            </w:r>
            <w:r w:rsidR="0042646C">
              <w:rPr>
                <w:rFonts w:ascii="Arial" w:hAnsi="Arial" w:cs="Arial"/>
                <w:b/>
                <w:bCs/>
                <w:sz w:val="18"/>
                <w:szCs w:val="18"/>
              </w:rPr>
              <w:t>-1481</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3448EF" w:rsidP="00312CB6">
            <w:pPr>
              <w:rPr>
                <w:rFonts w:ascii="Arial" w:hAnsi="Arial" w:cs="Arial"/>
                <w:b/>
                <w:bCs/>
                <w:sz w:val="18"/>
                <w:szCs w:val="18"/>
              </w:rPr>
            </w:pPr>
            <w:r>
              <w:rPr>
                <w:rFonts w:ascii="Arial" w:hAnsi="Arial" w:cs="Arial"/>
                <w:b/>
                <w:bCs/>
                <w:sz w:val="18"/>
                <w:szCs w:val="18"/>
              </w:rPr>
              <w:t xml:space="preserve">        -1097</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3448EF" w:rsidP="00312CB6">
            <w:pPr>
              <w:rPr>
                <w:rFonts w:ascii="Arial" w:hAnsi="Arial" w:cs="Arial"/>
                <w:b/>
                <w:bCs/>
                <w:sz w:val="18"/>
                <w:szCs w:val="18"/>
              </w:rPr>
            </w:pPr>
            <w:r>
              <w:rPr>
                <w:rFonts w:ascii="Arial" w:hAnsi="Arial" w:cs="Arial"/>
                <w:b/>
                <w:bCs/>
                <w:sz w:val="18"/>
                <w:szCs w:val="18"/>
              </w:rPr>
              <w:t xml:space="preserve">             2815</w:t>
            </w:r>
          </w:p>
        </w:tc>
        <w:tc>
          <w:tcPr>
            <w:tcW w:w="1281" w:type="dxa"/>
            <w:tcBorders>
              <w:top w:val="nil"/>
              <w:left w:val="nil"/>
              <w:bottom w:val="single" w:sz="4" w:space="0" w:color="auto"/>
              <w:right w:val="single" w:sz="4" w:space="0" w:color="auto"/>
            </w:tcBorders>
          </w:tcPr>
          <w:p w:rsidR="00131483" w:rsidRPr="00A319FE" w:rsidRDefault="003448EF" w:rsidP="00312CB6">
            <w:pPr>
              <w:rPr>
                <w:rFonts w:ascii="Arial" w:hAnsi="Arial" w:cs="Arial"/>
                <w:b/>
                <w:bCs/>
                <w:sz w:val="18"/>
                <w:szCs w:val="18"/>
              </w:rPr>
            </w:pPr>
            <w:r>
              <w:rPr>
                <w:rFonts w:ascii="Arial" w:hAnsi="Arial" w:cs="Arial"/>
                <w:b/>
                <w:bCs/>
                <w:sz w:val="18"/>
                <w:szCs w:val="18"/>
              </w:rPr>
              <w:t xml:space="preserve">                257</w:t>
            </w:r>
          </w:p>
        </w:tc>
      </w:tr>
      <w:tr w:rsidR="00131483" w:rsidRPr="00A319FE" w:rsidTr="00A50BDA">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rsidR="00131483" w:rsidRPr="00131483" w:rsidRDefault="00131483" w:rsidP="00312CB6">
            <w:pPr>
              <w:rPr>
                <w:rFonts w:ascii="Arial" w:hAnsi="Arial" w:cs="Arial"/>
                <w:b/>
                <w:color w:val="000000"/>
                <w:sz w:val="18"/>
                <w:szCs w:val="18"/>
              </w:rPr>
            </w:pPr>
            <w:r w:rsidRPr="00131483">
              <w:rPr>
                <w:rFonts w:ascii="Arial" w:hAnsi="Arial" w:cs="Arial"/>
                <w:b/>
                <w:color w:val="000000"/>
                <w:sz w:val="18"/>
                <w:szCs w:val="18"/>
              </w:rPr>
              <w:t xml:space="preserve"> Třída 8 – financování </w:t>
            </w:r>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rsidR="00131483" w:rsidRPr="00A50BDA" w:rsidRDefault="00131483" w:rsidP="00312CB6">
            <w:pPr>
              <w:rPr>
                <w:rFonts w:ascii="Arial" w:hAnsi="Arial" w:cs="Arial"/>
                <w:b/>
                <w:bCs/>
                <w:sz w:val="18"/>
                <w:szCs w:val="18"/>
                <w:highlight w:val="lightGray"/>
              </w:rPr>
            </w:pPr>
          </w:p>
        </w:tc>
        <w:tc>
          <w:tcPr>
            <w:tcW w:w="1080" w:type="dxa"/>
            <w:tcBorders>
              <w:top w:val="nil"/>
              <w:left w:val="nil"/>
              <w:bottom w:val="single" w:sz="4" w:space="0" w:color="auto"/>
              <w:right w:val="single" w:sz="4" w:space="0" w:color="auto"/>
            </w:tcBorders>
            <w:shd w:val="clear" w:color="auto" w:fill="A6A6A6" w:themeFill="background1" w:themeFillShade="A6"/>
            <w:noWrap/>
            <w:vAlign w:val="bottom"/>
          </w:tcPr>
          <w:p w:rsidR="00131483" w:rsidRPr="00A50BDA" w:rsidRDefault="00131483" w:rsidP="00312CB6">
            <w:pPr>
              <w:rPr>
                <w:rFonts w:ascii="Arial" w:hAnsi="Arial" w:cs="Arial"/>
                <w:b/>
                <w:bCs/>
                <w:sz w:val="18"/>
                <w:szCs w:val="18"/>
                <w:highlight w:val="lightGray"/>
              </w:rPr>
            </w:pPr>
          </w:p>
        </w:tc>
        <w:tc>
          <w:tcPr>
            <w:tcW w:w="1260" w:type="dxa"/>
            <w:tcBorders>
              <w:top w:val="nil"/>
              <w:left w:val="nil"/>
              <w:bottom w:val="single" w:sz="4" w:space="0" w:color="auto"/>
              <w:right w:val="single" w:sz="4" w:space="0" w:color="auto"/>
            </w:tcBorders>
            <w:shd w:val="clear" w:color="auto" w:fill="A6A6A6" w:themeFill="background1" w:themeFillShade="A6"/>
            <w:noWrap/>
            <w:vAlign w:val="bottom"/>
          </w:tcPr>
          <w:p w:rsidR="00131483" w:rsidRPr="00A50BDA" w:rsidRDefault="00131483" w:rsidP="00312CB6">
            <w:pPr>
              <w:rPr>
                <w:rFonts w:ascii="Arial" w:hAnsi="Arial" w:cs="Arial"/>
                <w:b/>
                <w:bCs/>
                <w:sz w:val="18"/>
                <w:szCs w:val="18"/>
                <w:highlight w:val="lightGray"/>
              </w:rPr>
            </w:pPr>
          </w:p>
        </w:tc>
        <w:tc>
          <w:tcPr>
            <w:tcW w:w="1281" w:type="dxa"/>
            <w:tcBorders>
              <w:top w:val="nil"/>
              <w:left w:val="nil"/>
              <w:bottom w:val="single" w:sz="4" w:space="0" w:color="auto"/>
              <w:right w:val="single" w:sz="4" w:space="0" w:color="auto"/>
            </w:tcBorders>
            <w:shd w:val="clear" w:color="auto" w:fill="A6A6A6" w:themeFill="background1" w:themeFillShade="A6"/>
          </w:tcPr>
          <w:p w:rsidR="00131483" w:rsidRPr="00A50BDA" w:rsidRDefault="00131483" w:rsidP="00312CB6">
            <w:pPr>
              <w:rPr>
                <w:rFonts w:ascii="Arial" w:hAnsi="Arial" w:cs="Arial"/>
                <w:b/>
                <w:bCs/>
                <w:sz w:val="18"/>
                <w:szCs w:val="18"/>
                <w:highlight w:val="lightGray"/>
              </w:rPr>
            </w:pPr>
          </w:p>
        </w:tc>
      </w:tr>
      <w:tr w:rsidR="009947A2"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9947A2" w:rsidRPr="00131483" w:rsidRDefault="009947A2" w:rsidP="00312CB6">
            <w:pPr>
              <w:rPr>
                <w:rFonts w:ascii="Arial" w:hAnsi="Arial" w:cs="Arial"/>
                <w:b/>
                <w:color w:val="000000"/>
                <w:sz w:val="18"/>
                <w:szCs w:val="18"/>
              </w:rPr>
            </w:pPr>
            <w:r w:rsidRPr="00131483">
              <w:rPr>
                <w:rFonts w:ascii="Arial" w:hAnsi="Arial" w:cs="Arial"/>
                <w:bCs/>
                <w:color w:val="000000"/>
                <w:sz w:val="18"/>
                <w:szCs w:val="18"/>
              </w:rPr>
              <w:t xml:space="preserve">Přijaté </w:t>
            </w:r>
            <w:r>
              <w:rPr>
                <w:rFonts w:ascii="Arial" w:hAnsi="Arial" w:cs="Arial"/>
                <w:bCs/>
                <w:color w:val="000000"/>
                <w:sz w:val="18"/>
                <w:szCs w:val="18"/>
              </w:rPr>
              <w:t>úvěry a půjčky</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281" w:type="dxa"/>
            <w:tcBorders>
              <w:top w:val="nil"/>
              <w:left w:val="nil"/>
              <w:bottom w:val="single" w:sz="4" w:space="0" w:color="auto"/>
              <w:right w:val="single" w:sz="4" w:space="0" w:color="auto"/>
            </w:tcBorders>
          </w:tcPr>
          <w:p w:rsidR="009947A2" w:rsidRPr="00A319FE" w:rsidRDefault="00A50BDA" w:rsidP="00312CB6">
            <w:pPr>
              <w:rPr>
                <w:rFonts w:ascii="Arial" w:hAnsi="Arial" w:cs="Arial"/>
                <w:b/>
                <w:bCs/>
                <w:sz w:val="18"/>
                <w:szCs w:val="18"/>
              </w:rPr>
            </w:pPr>
            <w:r>
              <w:rPr>
                <w:rFonts w:ascii="Arial" w:hAnsi="Arial" w:cs="Arial"/>
                <w:b/>
                <w:bCs/>
                <w:sz w:val="18"/>
                <w:szCs w:val="18"/>
              </w:rPr>
              <w:t>0</w:t>
            </w:r>
          </w:p>
        </w:tc>
      </w:tr>
      <w:tr w:rsidR="009947A2"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9947A2" w:rsidRPr="009947A2" w:rsidRDefault="009947A2" w:rsidP="00312CB6">
            <w:pPr>
              <w:rPr>
                <w:rFonts w:ascii="Arial" w:hAnsi="Arial" w:cs="Arial"/>
                <w:color w:val="000000"/>
                <w:sz w:val="18"/>
                <w:szCs w:val="18"/>
              </w:rPr>
            </w:pPr>
            <w:r w:rsidRPr="009947A2">
              <w:rPr>
                <w:rFonts w:ascii="Arial" w:hAnsi="Arial" w:cs="Arial"/>
                <w:color w:val="000000"/>
                <w:sz w:val="18"/>
                <w:szCs w:val="18"/>
              </w:rPr>
              <w:t xml:space="preserve">Splátky úvěrů </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-1000</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w:t>
            </w:r>
            <w:r w:rsidR="001421DF">
              <w:rPr>
                <w:rFonts w:ascii="Arial" w:hAnsi="Arial" w:cs="Arial"/>
                <w:b/>
                <w:bCs/>
                <w:sz w:val="18"/>
                <w:szCs w:val="18"/>
              </w:rPr>
              <w:t>3013</w:t>
            </w:r>
          </w:p>
        </w:tc>
        <w:tc>
          <w:tcPr>
            <w:tcW w:w="126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w:t>
            </w:r>
            <w:r w:rsidR="001421DF">
              <w:rPr>
                <w:rFonts w:ascii="Arial" w:hAnsi="Arial" w:cs="Arial"/>
                <w:b/>
                <w:bCs/>
                <w:sz w:val="18"/>
                <w:szCs w:val="18"/>
              </w:rPr>
              <w:t>2986</w:t>
            </w:r>
          </w:p>
        </w:tc>
        <w:tc>
          <w:tcPr>
            <w:tcW w:w="1281" w:type="dxa"/>
            <w:tcBorders>
              <w:top w:val="nil"/>
              <w:left w:val="nil"/>
              <w:bottom w:val="single" w:sz="4" w:space="0" w:color="auto"/>
              <w:right w:val="single" w:sz="4" w:space="0" w:color="auto"/>
            </w:tcBorders>
          </w:tcPr>
          <w:p w:rsidR="009947A2" w:rsidRPr="00A319FE" w:rsidRDefault="00A50BDA" w:rsidP="00312CB6">
            <w:pPr>
              <w:rPr>
                <w:rFonts w:ascii="Arial" w:hAnsi="Arial" w:cs="Arial"/>
                <w:b/>
                <w:bCs/>
                <w:sz w:val="18"/>
                <w:szCs w:val="18"/>
              </w:rPr>
            </w:pPr>
            <w:r>
              <w:rPr>
                <w:rFonts w:ascii="Arial" w:hAnsi="Arial" w:cs="Arial"/>
                <w:b/>
                <w:bCs/>
                <w:sz w:val="18"/>
                <w:szCs w:val="18"/>
              </w:rPr>
              <w:t>99</w:t>
            </w:r>
          </w:p>
        </w:tc>
      </w:tr>
      <w:tr w:rsidR="009947A2"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9947A2" w:rsidRPr="009947A2" w:rsidRDefault="009947A2" w:rsidP="00312CB6">
            <w:pPr>
              <w:rPr>
                <w:rFonts w:ascii="Arial" w:hAnsi="Arial" w:cs="Arial"/>
                <w:color w:val="000000"/>
                <w:sz w:val="18"/>
                <w:szCs w:val="18"/>
              </w:rPr>
            </w:pPr>
            <w:r w:rsidRPr="009947A2">
              <w:rPr>
                <w:rFonts w:ascii="Arial" w:hAnsi="Arial" w:cs="Arial"/>
                <w:color w:val="000000"/>
                <w:sz w:val="18"/>
                <w:szCs w:val="18"/>
              </w:rPr>
              <w:t xml:space="preserve">Fond rezerv </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281" w:type="dxa"/>
            <w:tcBorders>
              <w:top w:val="nil"/>
              <w:left w:val="nil"/>
              <w:bottom w:val="single" w:sz="4" w:space="0" w:color="auto"/>
              <w:right w:val="single" w:sz="4" w:space="0" w:color="auto"/>
            </w:tcBorders>
          </w:tcPr>
          <w:p w:rsidR="009947A2" w:rsidRPr="00A319FE" w:rsidRDefault="00A50BDA" w:rsidP="00312CB6">
            <w:pPr>
              <w:rPr>
                <w:rFonts w:ascii="Arial" w:hAnsi="Arial" w:cs="Arial"/>
                <w:b/>
                <w:bCs/>
                <w:sz w:val="18"/>
                <w:szCs w:val="18"/>
              </w:rPr>
            </w:pPr>
            <w:r>
              <w:rPr>
                <w:rFonts w:ascii="Arial" w:hAnsi="Arial" w:cs="Arial"/>
                <w:b/>
                <w:bCs/>
                <w:sz w:val="18"/>
                <w:szCs w:val="18"/>
              </w:rPr>
              <w:t>0</w:t>
            </w:r>
          </w:p>
        </w:tc>
      </w:tr>
      <w:tr w:rsidR="009947A2"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9947A2" w:rsidRDefault="009947A2" w:rsidP="00312CB6">
            <w:pPr>
              <w:rPr>
                <w:rFonts w:ascii="Arial" w:hAnsi="Arial" w:cs="Arial"/>
                <w:b/>
                <w:color w:val="000000"/>
                <w:sz w:val="18"/>
                <w:szCs w:val="18"/>
              </w:rPr>
            </w:pPr>
            <w:r>
              <w:rPr>
                <w:rFonts w:ascii="Arial" w:hAnsi="Arial" w:cs="Arial"/>
                <w:bCs/>
                <w:color w:val="000000"/>
                <w:sz w:val="18"/>
                <w:szCs w:val="18"/>
              </w:rPr>
              <w:t>Fond sociální</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26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0</w:t>
            </w:r>
          </w:p>
        </w:tc>
        <w:tc>
          <w:tcPr>
            <w:tcW w:w="1281" w:type="dxa"/>
            <w:tcBorders>
              <w:top w:val="nil"/>
              <w:left w:val="nil"/>
              <w:bottom w:val="single" w:sz="4" w:space="0" w:color="auto"/>
              <w:right w:val="single" w:sz="4" w:space="0" w:color="auto"/>
            </w:tcBorders>
          </w:tcPr>
          <w:p w:rsidR="009947A2" w:rsidRPr="00A319FE" w:rsidRDefault="00A50BDA" w:rsidP="00312CB6">
            <w:pPr>
              <w:rPr>
                <w:rFonts w:ascii="Arial" w:hAnsi="Arial" w:cs="Arial"/>
                <w:b/>
                <w:bCs/>
                <w:sz w:val="18"/>
                <w:szCs w:val="18"/>
              </w:rPr>
            </w:pPr>
            <w:r>
              <w:rPr>
                <w:rFonts w:ascii="Arial" w:hAnsi="Arial" w:cs="Arial"/>
                <w:b/>
                <w:bCs/>
                <w:sz w:val="18"/>
                <w:szCs w:val="18"/>
              </w:rPr>
              <w:t>0</w:t>
            </w:r>
          </w:p>
        </w:tc>
      </w:tr>
      <w:tr w:rsidR="009947A2"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9947A2" w:rsidRDefault="009947A2" w:rsidP="00312CB6">
            <w:pPr>
              <w:rPr>
                <w:rFonts w:ascii="Arial" w:hAnsi="Arial" w:cs="Arial"/>
                <w:bCs/>
                <w:color w:val="000000"/>
                <w:sz w:val="18"/>
                <w:szCs w:val="18"/>
              </w:rPr>
            </w:pPr>
            <w:r>
              <w:rPr>
                <w:rFonts w:ascii="Arial" w:hAnsi="Arial" w:cs="Arial"/>
                <w:bCs/>
                <w:color w:val="000000"/>
                <w:sz w:val="18"/>
                <w:szCs w:val="18"/>
              </w:rPr>
              <w:t>Prostředky minulých let</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A50BDA" w:rsidP="00312CB6">
            <w:pPr>
              <w:rPr>
                <w:rFonts w:ascii="Arial" w:hAnsi="Arial" w:cs="Arial"/>
                <w:b/>
                <w:bCs/>
                <w:sz w:val="18"/>
                <w:szCs w:val="18"/>
              </w:rPr>
            </w:pPr>
            <w:r>
              <w:rPr>
                <w:rFonts w:ascii="Arial" w:hAnsi="Arial" w:cs="Arial"/>
                <w:b/>
                <w:bCs/>
                <w:sz w:val="18"/>
                <w:szCs w:val="18"/>
              </w:rPr>
              <w:t>2481</w:t>
            </w:r>
          </w:p>
        </w:tc>
        <w:tc>
          <w:tcPr>
            <w:tcW w:w="1080" w:type="dxa"/>
            <w:tcBorders>
              <w:top w:val="nil"/>
              <w:left w:val="nil"/>
              <w:bottom w:val="single" w:sz="4" w:space="0" w:color="auto"/>
              <w:right w:val="single" w:sz="4" w:space="0" w:color="auto"/>
            </w:tcBorders>
            <w:shd w:val="clear" w:color="auto" w:fill="auto"/>
            <w:noWrap/>
            <w:vAlign w:val="bottom"/>
          </w:tcPr>
          <w:p w:rsidR="009947A2" w:rsidRPr="00A319FE" w:rsidRDefault="001421DF" w:rsidP="00312CB6">
            <w:pPr>
              <w:rPr>
                <w:rFonts w:ascii="Arial" w:hAnsi="Arial" w:cs="Arial"/>
                <w:b/>
                <w:bCs/>
                <w:sz w:val="18"/>
                <w:szCs w:val="18"/>
              </w:rPr>
            </w:pPr>
            <w:r>
              <w:rPr>
                <w:rFonts w:ascii="Arial" w:hAnsi="Arial" w:cs="Arial"/>
                <w:b/>
                <w:bCs/>
                <w:sz w:val="18"/>
                <w:szCs w:val="18"/>
              </w:rPr>
              <w:t>4110</w:t>
            </w:r>
          </w:p>
        </w:tc>
        <w:tc>
          <w:tcPr>
            <w:tcW w:w="1260" w:type="dxa"/>
            <w:tcBorders>
              <w:top w:val="nil"/>
              <w:left w:val="nil"/>
              <w:bottom w:val="single" w:sz="4" w:space="0" w:color="auto"/>
              <w:right w:val="single" w:sz="4" w:space="0" w:color="auto"/>
            </w:tcBorders>
            <w:shd w:val="clear" w:color="auto" w:fill="auto"/>
            <w:noWrap/>
            <w:vAlign w:val="bottom"/>
          </w:tcPr>
          <w:p w:rsidR="009947A2" w:rsidRPr="00A319FE" w:rsidRDefault="001421DF" w:rsidP="00312CB6">
            <w:pPr>
              <w:rPr>
                <w:rFonts w:ascii="Arial" w:hAnsi="Arial" w:cs="Arial"/>
                <w:b/>
                <w:bCs/>
                <w:sz w:val="18"/>
                <w:szCs w:val="18"/>
              </w:rPr>
            </w:pPr>
            <w:r>
              <w:rPr>
                <w:rFonts w:ascii="Arial" w:hAnsi="Arial" w:cs="Arial"/>
                <w:b/>
                <w:bCs/>
                <w:sz w:val="18"/>
                <w:szCs w:val="18"/>
              </w:rPr>
              <w:t>171</w:t>
            </w:r>
          </w:p>
        </w:tc>
        <w:tc>
          <w:tcPr>
            <w:tcW w:w="1281" w:type="dxa"/>
            <w:tcBorders>
              <w:top w:val="nil"/>
              <w:left w:val="nil"/>
              <w:bottom w:val="single" w:sz="4" w:space="0" w:color="auto"/>
              <w:right w:val="single" w:sz="4" w:space="0" w:color="auto"/>
            </w:tcBorders>
          </w:tcPr>
          <w:p w:rsidR="009947A2" w:rsidRPr="00A319FE" w:rsidRDefault="00A50BDA" w:rsidP="00312CB6">
            <w:pPr>
              <w:rPr>
                <w:rFonts w:ascii="Arial" w:hAnsi="Arial" w:cs="Arial"/>
                <w:b/>
                <w:bCs/>
                <w:sz w:val="18"/>
                <w:szCs w:val="18"/>
              </w:rPr>
            </w:pPr>
            <w:r>
              <w:rPr>
                <w:rFonts w:ascii="Arial" w:hAnsi="Arial" w:cs="Arial"/>
                <w:b/>
                <w:bCs/>
                <w:sz w:val="18"/>
                <w:szCs w:val="18"/>
              </w:rPr>
              <w:t>4</w:t>
            </w:r>
          </w:p>
        </w:tc>
      </w:tr>
      <w:tr w:rsidR="00131483" w:rsidRPr="00A319FE" w:rsidTr="00131483">
        <w:trPr>
          <w:trHeight w:val="225"/>
        </w:trPr>
        <w:tc>
          <w:tcPr>
            <w:tcW w:w="2655" w:type="dxa"/>
            <w:tcBorders>
              <w:top w:val="single" w:sz="4" w:space="0" w:color="auto"/>
              <w:left w:val="single" w:sz="4" w:space="0" w:color="auto"/>
              <w:bottom w:val="single" w:sz="4" w:space="0" w:color="auto"/>
              <w:right w:val="single" w:sz="4" w:space="0" w:color="auto"/>
            </w:tcBorders>
            <w:shd w:val="clear" w:color="auto" w:fill="auto"/>
            <w:vAlign w:val="bottom"/>
          </w:tcPr>
          <w:p w:rsidR="00131483" w:rsidRPr="009947A2" w:rsidRDefault="009947A2" w:rsidP="00312CB6">
            <w:pPr>
              <w:rPr>
                <w:rFonts w:ascii="Arial" w:hAnsi="Arial" w:cs="Arial"/>
                <w:b/>
                <w:bCs/>
                <w:color w:val="000000"/>
                <w:sz w:val="18"/>
                <w:szCs w:val="18"/>
              </w:rPr>
            </w:pPr>
            <w:r w:rsidRPr="009947A2">
              <w:rPr>
                <w:rFonts w:ascii="Arial" w:hAnsi="Arial" w:cs="Arial"/>
                <w:b/>
                <w:bCs/>
                <w:color w:val="000000"/>
                <w:sz w:val="18"/>
                <w:szCs w:val="18"/>
              </w:rPr>
              <w:t xml:space="preserve">Financování celkem </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50BDA" w:rsidP="00312CB6">
            <w:pPr>
              <w:jc w:val="right"/>
              <w:rPr>
                <w:rFonts w:ascii="Arial" w:hAnsi="Arial" w:cs="Arial"/>
                <w:b/>
                <w:bCs/>
                <w:sz w:val="18"/>
                <w:szCs w:val="18"/>
              </w:rPr>
            </w:pPr>
            <w:r>
              <w:rPr>
                <w:rFonts w:ascii="Arial" w:hAnsi="Arial" w:cs="Arial"/>
                <w:b/>
                <w:bCs/>
                <w:sz w:val="18"/>
                <w:szCs w:val="18"/>
              </w:rPr>
              <w:t>1481</w:t>
            </w:r>
          </w:p>
        </w:tc>
        <w:tc>
          <w:tcPr>
            <w:tcW w:w="1080" w:type="dxa"/>
            <w:tcBorders>
              <w:top w:val="nil"/>
              <w:left w:val="nil"/>
              <w:bottom w:val="single" w:sz="4" w:space="0" w:color="auto"/>
              <w:right w:val="single" w:sz="4" w:space="0" w:color="auto"/>
            </w:tcBorders>
            <w:shd w:val="clear" w:color="auto" w:fill="auto"/>
            <w:noWrap/>
            <w:vAlign w:val="bottom"/>
          </w:tcPr>
          <w:p w:rsidR="00131483" w:rsidRPr="00A319FE" w:rsidRDefault="00A50BDA" w:rsidP="00312CB6">
            <w:pPr>
              <w:jc w:val="right"/>
              <w:rPr>
                <w:rFonts w:ascii="Arial" w:hAnsi="Arial" w:cs="Arial"/>
                <w:b/>
                <w:bCs/>
                <w:sz w:val="18"/>
                <w:szCs w:val="18"/>
              </w:rPr>
            </w:pPr>
            <w:r>
              <w:rPr>
                <w:rFonts w:ascii="Arial" w:hAnsi="Arial" w:cs="Arial"/>
                <w:b/>
                <w:bCs/>
                <w:sz w:val="18"/>
                <w:szCs w:val="18"/>
              </w:rPr>
              <w:t>1097</w:t>
            </w:r>
          </w:p>
        </w:tc>
        <w:tc>
          <w:tcPr>
            <w:tcW w:w="1260" w:type="dxa"/>
            <w:tcBorders>
              <w:top w:val="nil"/>
              <w:left w:val="nil"/>
              <w:bottom w:val="single" w:sz="4" w:space="0" w:color="auto"/>
              <w:right w:val="single" w:sz="4" w:space="0" w:color="auto"/>
            </w:tcBorders>
            <w:shd w:val="clear" w:color="auto" w:fill="auto"/>
            <w:noWrap/>
            <w:vAlign w:val="bottom"/>
          </w:tcPr>
          <w:p w:rsidR="00131483" w:rsidRPr="00A319FE" w:rsidRDefault="00A50BDA" w:rsidP="00312CB6">
            <w:pPr>
              <w:jc w:val="right"/>
              <w:rPr>
                <w:rFonts w:ascii="Arial" w:hAnsi="Arial" w:cs="Arial"/>
                <w:b/>
                <w:bCs/>
                <w:sz w:val="18"/>
                <w:szCs w:val="18"/>
              </w:rPr>
            </w:pPr>
            <w:r>
              <w:rPr>
                <w:rFonts w:ascii="Arial" w:hAnsi="Arial" w:cs="Arial"/>
                <w:b/>
                <w:bCs/>
                <w:sz w:val="18"/>
                <w:szCs w:val="18"/>
              </w:rPr>
              <w:t>-2815</w:t>
            </w:r>
          </w:p>
        </w:tc>
        <w:tc>
          <w:tcPr>
            <w:tcW w:w="1281" w:type="dxa"/>
            <w:tcBorders>
              <w:top w:val="nil"/>
              <w:left w:val="nil"/>
              <w:bottom w:val="single" w:sz="4" w:space="0" w:color="auto"/>
              <w:right w:val="single" w:sz="4" w:space="0" w:color="auto"/>
            </w:tcBorders>
          </w:tcPr>
          <w:p w:rsidR="00131483" w:rsidRPr="00A319FE" w:rsidRDefault="001421DF" w:rsidP="00312CB6">
            <w:pPr>
              <w:jc w:val="right"/>
              <w:rPr>
                <w:rFonts w:ascii="Arial" w:hAnsi="Arial" w:cs="Arial"/>
                <w:b/>
                <w:bCs/>
                <w:sz w:val="18"/>
                <w:szCs w:val="18"/>
              </w:rPr>
            </w:pPr>
            <w:r>
              <w:rPr>
                <w:rFonts w:ascii="Arial" w:hAnsi="Arial" w:cs="Arial"/>
                <w:b/>
                <w:bCs/>
                <w:sz w:val="18"/>
                <w:szCs w:val="18"/>
              </w:rPr>
              <w:t>-257</w:t>
            </w:r>
          </w:p>
        </w:tc>
      </w:tr>
    </w:tbl>
    <w:p w:rsidR="00B252E9" w:rsidRDefault="00B252E9" w:rsidP="00B252E9">
      <w:pPr>
        <w:pStyle w:val="Default"/>
      </w:pPr>
    </w:p>
    <w:p w:rsidR="00341062" w:rsidRPr="00B371CF" w:rsidRDefault="00B252E9" w:rsidP="00162BCB">
      <w:pPr>
        <w:rPr>
          <w:color w:val="000000" w:themeColor="text1"/>
        </w:rPr>
      </w:pPr>
      <w:r>
        <w:t xml:space="preserve">Údaje o plnění rozpočtu příjmů, výdajů a o dalších finančních operacích v plném členění podle rozpočtové skladby jsou obsaženy v příloze č. 1 a jsou k nahlédnutí na obecním úřadu u účetní úřadu (výkaz FIN 2-12, rozbor čerpání příjmů a výdajů). </w:t>
      </w:r>
      <w:r w:rsidRPr="00B371CF">
        <w:rPr>
          <w:color w:val="000000" w:themeColor="text1"/>
        </w:rPr>
        <w:t>Drobná překročení a nenaplnění příjmů a výdajů dle jednotlivých položek a paragrafů jsou podrobně rozepsá</w:t>
      </w:r>
      <w:r w:rsidRPr="00B371CF">
        <w:rPr>
          <w:rFonts w:cs="Minion Pro"/>
          <w:color w:val="000000" w:themeColor="text1"/>
        </w:rPr>
        <w:softHyphen/>
        <w:t>ny a odůvodněny v komentáři k rozboru plnění rozpočtu, který byl projedná</w:t>
      </w:r>
      <w:r w:rsidR="00FA2174" w:rsidRPr="00B371CF">
        <w:rPr>
          <w:rFonts w:cs="Minion Pro"/>
          <w:color w:val="000000" w:themeColor="text1"/>
        </w:rPr>
        <w:t>n v</w:t>
      </w:r>
      <w:r w:rsidR="00B371CF">
        <w:rPr>
          <w:rFonts w:cs="Minion Pro"/>
          <w:color w:val="000000" w:themeColor="text1"/>
        </w:rPr>
        <w:t xml:space="preserve"> diskuzi v </w:t>
      </w:r>
      <w:r w:rsidR="00FA2174" w:rsidRPr="00B371CF">
        <w:rPr>
          <w:rFonts w:cs="Minion Pro"/>
          <w:color w:val="000000" w:themeColor="text1"/>
        </w:rPr>
        <w:t>zastupi</w:t>
      </w:r>
      <w:r w:rsidR="00FA2174" w:rsidRPr="00B371CF">
        <w:rPr>
          <w:rFonts w:cs="Minion Pro"/>
          <w:color w:val="000000" w:themeColor="text1"/>
        </w:rPr>
        <w:softHyphen/>
        <w:t xml:space="preserve">telstvu v </w:t>
      </w:r>
      <w:r w:rsidR="00B371CF">
        <w:rPr>
          <w:rFonts w:cs="Minion Pro"/>
          <w:color w:val="000000" w:themeColor="text1"/>
        </w:rPr>
        <w:t>únoru</w:t>
      </w:r>
      <w:r w:rsidR="00FA2174" w:rsidRPr="00B371CF">
        <w:rPr>
          <w:rFonts w:cs="Minion Pro"/>
          <w:color w:val="000000" w:themeColor="text1"/>
        </w:rPr>
        <w:t xml:space="preserve"> 2017.</w:t>
      </w:r>
    </w:p>
    <w:p w:rsidR="00341062" w:rsidRDefault="00341062" w:rsidP="00341062">
      <w:pPr>
        <w:rPr>
          <w:b/>
          <w:bCs/>
          <w:sz w:val="23"/>
          <w:szCs w:val="23"/>
        </w:rPr>
      </w:pPr>
      <w:r>
        <w:rPr>
          <w:b/>
          <w:bCs/>
          <w:sz w:val="23"/>
          <w:szCs w:val="23"/>
        </w:rPr>
        <w:t>2) Hospodářská činnost obce</w:t>
      </w:r>
    </w:p>
    <w:p w:rsidR="00341062" w:rsidRDefault="00341062" w:rsidP="00341062">
      <w:r>
        <w:t xml:space="preserve">Obec Žalany </w:t>
      </w:r>
      <w:r>
        <w:rPr>
          <w:b/>
          <w:bCs/>
        </w:rPr>
        <w:t xml:space="preserve">neprovozuje </w:t>
      </w:r>
      <w:r w:rsidR="001C39BF">
        <w:rPr>
          <w:b/>
          <w:bCs/>
        </w:rPr>
        <w:t xml:space="preserve">v roce 2016 </w:t>
      </w:r>
      <w:r>
        <w:t>hospodářskou činnost</w:t>
      </w:r>
      <w:r w:rsidR="001C39BF">
        <w:t>.</w:t>
      </w:r>
    </w:p>
    <w:p w:rsidR="001C39BF" w:rsidRPr="001C39BF" w:rsidRDefault="001C39BF" w:rsidP="001C39BF">
      <w:r>
        <w:rPr>
          <w:b/>
          <w:bCs/>
          <w:sz w:val="23"/>
          <w:szCs w:val="23"/>
        </w:rPr>
        <w:t>3) Údaje o hospodaření s majetkem a dalších finančních operací</w:t>
      </w:r>
    </w:p>
    <w:p w:rsidR="001C39BF" w:rsidRDefault="001C39BF" w:rsidP="001C39BF">
      <w:pPr>
        <w:pStyle w:val="Pa63"/>
        <w:jc w:val="both"/>
        <w:rPr>
          <w:rFonts w:asciiTheme="minorHAnsi" w:hAnsiTheme="minorHAnsi"/>
          <w:sz w:val="22"/>
          <w:szCs w:val="22"/>
        </w:rPr>
      </w:pPr>
      <w:r w:rsidRPr="001C39BF">
        <w:rPr>
          <w:rFonts w:asciiTheme="minorHAnsi" w:hAnsiTheme="minorHAnsi"/>
          <w:sz w:val="22"/>
          <w:szCs w:val="22"/>
        </w:rPr>
        <w:t xml:space="preserve">Výkaz Rozvaha a výkaz zisků a ztráty a příloha účetní závěrky jsou </w:t>
      </w:r>
      <w:r w:rsidR="00A1701B">
        <w:rPr>
          <w:rFonts w:asciiTheme="minorHAnsi" w:hAnsiTheme="minorHAnsi"/>
          <w:sz w:val="22"/>
          <w:szCs w:val="22"/>
        </w:rPr>
        <w:t xml:space="preserve">součástí přílohy č. 2 a také </w:t>
      </w:r>
      <w:r w:rsidRPr="001C39BF">
        <w:rPr>
          <w:rFonts w:asciiTheme="minorHAnsi" w:hAnsiTheme="minorHAnsi"/>
          <w:sz w:val="22"/>
          <w:szCs w:val="22"/>
        </w:rPr>
        <w:t xml:space="preserve">dostupné dálkovým přístupem na </w:t>
      </w:r>
      <w:r>
        <w:rPr>
          <w:rFonts w:asciiTheme="minorHAnsi" w:hAnsiTheme="minorHAnsi"/>
        </w:rPr>
        <w:t>www.zalany</w:t>
      </w:r>
      <w:r w:rsidRPr="001C39BF">
        <w:rPr>
          <w:rFonts w:asciiTheme="minorHAnsi" w:hAnsiTheme="minorHAnsi"/>
        </w:rPr>
        <w:t xml:space="preserve">.cz </w:t>
      </w:r>
      <w:r w:rsidR="00A1701B">
        <w:rPr>
          <w:rFonts w:asciiTheme="minorHAnsi" w:hAnsiTheme="minorHAnsi"/>
        </w:rPr>
        <w:t>Originály k</w:t>
      </w:r>
      <w:r w:rsidRPr="001C39BF">
        <w:rPr>
          <w:rFonts w:asciiTheme="minorHAnsi" w:hAnsiTheme="minorHAnsi"/>
          <w:sz w:val="22"/>
          <w:szCs w:val="22"/>
        </w:rPr>
        <w:t xml:space="preserve"> nahlédnutí jsou na obecním úřadu v kanceláři účetní úřadu. Výkazy a příloha obsahují údaje o stavu a vývoji majetku za běžný rok včetně popisu významných vlivů na změny stavů. </w:t>
      </w:r>
      <w:r w:rsidR="002B2B3F">
        <w:rPr>
          <w:rFonts w:asciiTheme="minorHAnsi" w:hAnsiTheme="minorHAnsi"/>
          <w:sz w:val="22"/>
          <w:szCs w:val="22"/>
        </w:rPr>
        <w:t xml:space="preserve">V souladu se zákonem č. 128/2000 Sb.,  o obcích, ve znění pozdějších předpisů, je předložena zastupitelstvu ke schválení účetní </w:t>
      </w:r>
      <w:r w:rsidR="002B2B3F">
        <w:rPr>
          <w:rFonts w:asciiTheme="minorHAnsi" w:hAnsiTheme="minorHAnsi"/>
          <w:sz w:val="22"/>
          <w:szCs w:val="22"/>
        </w:rPr>
        <w:lastRenderedPageBreak/>
        <w:t xml:space="preserve">závěrka obce sestavená k rozvahovému dni 31.12.2016, která po projednání zprávy o přezkoumání hospodaření ,nebyla zastupitelstvem schválena, z důvodu neprůkaznosti, neúplnosti účetnictví (závěrka nepodává věrný a poctivý obraz účetnictví). </w:t>
      </w:r>
    </w:p>
    <w:p w:rsidR="001C39BF" w:rsidRDefault="001C39BF" w:rsidP="001C39BF">
      <w:pPr>
        <w:pStyle w:val="Default"/>
        <w:rPr>
          <w:b/>
          <w:bCs/>
          <w:sz w:val="23"/>
          <w:szCs w:val="23"/>
        </w:rPr>
      </w:pPr>
    </w:p>
    <w:p w:rsidR="001C39BF" w:rsidRDefault="001C39BF" w:rsidP="001C39BF">
      <w:pPr>
        <w:pStyle w:val="Default"/>
        <w:rPr>
          <w:rFonts w:ascii="Arial" w:hAnsi="Arial" w:cs="Arial"/>
          <w:b/>
          <w:sz w:val="18"/>
          <w:szCs w:val="18"/>
        </w:rPr>
      </w:pPr>
      <w:r>
        <w:rPr>
          <w:b/>
          <w:bCs/>
          <w:sz w:val="23"/>
          <w:szCs w:val="23"/>
        </w:rPr>
        <w:t xml:space="preserve">4) Stav účelových fondů a finančních aktiv - </w:t>
      </w:r>
      <w:r>
        <w:rPr>
          <w:rFonts w:ascii="Arial" w:hAnsi="Arial" w:cs="Arial"/>
          <w:b/>
          <w:sz w:val="18"/>
          <w:szCs w:val="18"/>
        </w:rPr>
        <w:t>Tvorba a použití fondů</w:t>
      </w:r>
      <w:r w:rsidRPr="00A319FE">
        <w:rPr>
          <w:rFonts w:ascii="Arial" w:hAnsi="Arial" w:cs="Arial"/>
          <w:b/>
          <w:sz w:val="18"/>
          <w:szCs w:val="18"/>
        </w:rPr>
        <w:t xml:space="preserve"> (v </w:t>
      </w:r>
      <w:proofErr w:type="spellStart"/>
      <w:r w:rsidRPr="00A319FE">
        <w:rPr>
          <w:rFonts w:ascii="Arial" w:hAnsi="Arial" w:cs="Arial"/>
          <w:b/>
          <w:sz w:val="18"/>
          <w:szCs w:val="18"/>
        </w:rPr>
        <w:t>tis.Kč</w:t>
      </w:r>
      <w:proofErr w:type="spellEnd"/>
      <w:r w:rsidRPr="00A319FE">
        <w:rPr>
          <w:rFonts w:ascii="Arial" w:hAnsi="Arial" w:cs="Arial"/>
          <w:b/>
          <w:sz w:val="18"/>
          <w:szCs w:val="18"/>
        </w:rPr>
        <w:t>)</w:t>
      </w:r>
    </w:p>
    <w:p w:rsidR="001C39BF" w:rsidRDefault="001C39BF" w:rsidP="001C39BF">
      <w:pPr>
        <w:pStyle w:val="Default"/>
        <w:rPr>
          <w:rFonts w:ascii="Arial" w:hAnsi="Arial" w:cs="Arial"/>
          <w:b/>
          <w:sz w:val="18"/>
          <w:szCs w:val="18"/>
        </w:rPr>
      </w:pPr>
    </w:p>
    <w:p w:rsidR="001C39BF" w:rsidRDefault="001C39BF" w:rsidP="001C39BF">
      <w:pPr>
        <w:outlineLvl w:val="0"/>
        <w:rPr>
          <w:rFonts w:ascii="Arial" w:hAnsi="Arial" w:cs="Arial"/>
          <w:sz w:val="18"/>
          <w:szCs w:val="18"/>
        </w:rPr>
      </w:pPr>
      <w:r w:rsidRPr="00A319FE">
        <w:rPr>
          <w:rFonts w:ascii="Arial" w:hAnsi="Arial" w:cs="Arial"/>
          <w:sz w:val="18"/>
          <w:szCs w:val="18"/>
        </w:rPr>
        <w:t>Obec</w:t>
      </w:r>
      <w:r>
        <w:rPr>
          <w:rFonts w:ascii="Arial" w:hAnsi="Arial" w:cs="Arial"/>
          <w:sz w:val="18"/>
          <w:szCs w:val="18"/>
        </w:rPr>
        <w:t xml:space="preserve"> Žalany v roce 2016 n</w:t>
      </w:r>
      <w:r w:rsidRPr="00A319FE">
        <w:rPr>
          <w:rFonts w:ascii="Arial" w:hAnsi="Arial" w:cs="Arial"/>
          <w:sz w:val="18"/>
          <w:szCs w:val="18"/>
        </w:rPr>
        <w:t>emá žádné účelové fondy</w:t>
      </w:r>
    </w:p>
    <w:p w:rsidR="001C39BF" w:rsidRDefault="001C39BF" w:rsidP="001C39BF">
      <w:pPr>
        <w:outlineLvl w:val="0"/>
        <w:rPr>
          <w:b/>
          <w:bCs/>
          <w:sz w:val="23"/>
          <w:szCs w:val="23"/>
        </w:rPr>
      </w:pPr>
      <w:r>
        <w:rPr>
          <w:b/>
          <w:bCs/>
          <w:sz w:val="23"/>
          <w:szCs w:val="23"/>
        </w:rPr>
        <w:t>5) Hospodaření příspěvkových organizací zřízených obcí</w:t>
      </w:r>
    </w:p>
    <w:tbl>
      <w:tblPr>
        <w:tblW w:w="13482" w:type="dxa"/>
        <w:tblInd w:w="55" w:type="dxa"/>
        <w:tblLayout w:type="fixed"/>
        <w:tblCellMar>
          <w:left w:w="70" w:type="dxa"/>
          <w:right w:w="70" w:type="dxa"/>
        </w:tblCellMar>
        <w:tblLook w:val="04A0" w:firstRow="1" w:lastRow="0" w:firstColumn="1" w:lastColumn="0" w:noHBand="0" w:noVBand="1"/>
      </w:tblPr>
      <w:tblGrid>
        <w:gridCol w:w="799"/>
        <w:gridCol w:w="2051"/>
        <w:gridCol w:w="1985"/>
        <w:gridCol w:w="1701"/>
        <w:gridCol w:w="1701"/>
        <w:gridCol w:w="1701"/>
        <w:gridCol w:w="1843"/>
        <w:gridCol w:w="1701"/>
      </w:tblGrid>
      <w:tr w:rsidR="00475BD3" w:rsidRPr="002D271E" w:rsidTr="00312CB6">
        <w:trPr>
          <w:trHeight w:val="375"/>
        </w:trPr>
        <w:tc>
          <w:tcPr>
            <w:tcW w:w="13482" w:type="dxa"/>
            <w:gridSpan w:val="8"/>
            <w:tcBorders>
              <w:top w:val="nil"/>
              <w:left w:val="nil"/>
              <w:bottom w:val="nil"/>
              <w:right w:val="nil"/>
            </w:tcBorders>
            <w:shd w:val="clear" w:color="auto" w:fill="auto"/>
            <w:noWrap/>
            <w:vAlign w:val="bottom"/>
            <w:hideMark/>
          </w:tcPr>
          <w:p w:rsidR="00475BD3" w:rsidRPr="002D271E" w:rsidRDefault="00475BD3" w:rsidP="00312CB6">
            <w:pPr>
              <w:spacing w:after="0" w:line="240" w:lineRule="auto"/>
              <w:jc w:val="center"/>
              <w:rPr>
                <w:rFonts w:ascii="Calibri" w:eastAsia="Times New Roman" w:hAnsi="Calibri" w:cs="Times New Roman"/>
                <w:b/>
                <w:bCs/>
                <w:color w:val="000000"/>
                <w:sz w:val="28"/>
                <w:szCs w:val="28"/>
                <w:lang w:eastAsia="cs-CZ"/>
              </w:rPr>
            </w:pPr>
            <w:r w:rsidRPr="002D271E">
              <w:rPr>
                <w:rFonts w:ascii="Calibri" w:eastAsia="Times New Roman" w:hAnsi="Calibri" w:cs="Times New Roman"/>
                <w:b/>
                <w:bCs/>
                <w:color w:val="000000"/>
                <w:sz w:val="28"/>
                <w:szCs w:val="28"/>
                <w:lang w:eastAsia="cs-CZ"/>
              </w:rPr>
              <w:t xml:space="preserve">Základní škola a Mateřská škola Žalany </w:t>
            </w:r>
          </w:p>
        </w:tc>
      </w:tr>
      <w:tr w:rsidR="00475BD3" w:rsidRPr="002D271E" w:rsidTr="00312CB6">
        <w:trPr>
          <w:trHeight w:val="1200"/>
        </w:trPr>
        <w:tc>
          <w:tcPr>
            <w:tcW w:w="799" w:type="dxa"/>
            <w:tcBorders>
              <w:top w:val="single" w:sz="8" w:space="0" w:color="auto"/>
              <w:left w:val="single" w:sz="8" w:space="0" w:color="auto"/>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Období </w:t>
            </w:r>
          </w:p>
        </w:tc>
        <w:tc>
          <w:tcPr>
            <w:tcW w:w="205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Náklady celkem - hlavní činnost </w:t>
            </w:r>
          </w:p>
        </w:tc>
        <w:tc>
          <w:tcPr>
            <w:tcW w:w="1985"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Výnosy celkem - hlavní činnost  </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HV z hlavní činnosti </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Náklady celkem - </w:t>
            </w:r>
            <w:proofErr w:type="spellStart"/>
            <w:r w:rsidRPr="002D271E">
              <w:rPr>
                <w:rFonts w:ascii="Calibri" w:eastAsia="Times New Roman" w:hAnsi="Calibri" w:cs="Times New Roman"/>
                <w:color w:val="000000"/>
                <w:lang w:eastAsia="cs-CZ"/>
              </w:rPr>
              <w:t>dopňková</w:t>
            </w:r>
            <w:proofErr w:type="spellEnd"/>
            <w:r w:rsidRPr="002D271E">
              <w:rPr>
                <w:rFonts w:ascii="Calibri" w:eastAsia="Times New Roman" w:hAnsi="Calibri" w:cs="Times New Roman"/>
                <w:color w:val="000000"/>
                <w:lang w:eastAsia="cs-CZ"/>
              </w:rPr>
              <w:t xml:space="preserve"> hospod. činnost </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Výnosy celkem - </w:t>
            </w:r>
            <w:proofErr w:type="spellStart"/>
            <w:r w:rsidRPr="002D271E">
              <w:rPr>
                <w:rFonts w:ascii="Calibri" w:eastAsia="Times New Roman" w:hAnsi="Calibri" w:cs="Times New Roman"/>
                <w:color w:val="000000"/>
                <w:lang w:eastAsia="cs-CZ"/>
              </w:rPr>
              <w:t>dopňková</w:t>
            </w:r>
            <w:proofErr w:type="spellEnd"/>
            <w:r w:rsidRPr="002D271E">
              <w:rPr>
                <w:rFonts w:ascii="Calibri" w:eastAsia="Times New Roman" w:hAnsi="Calibri" w:cs="Times New Roman"/>
                <w:color w:val="000000"/>
                <w:lang w:eastAsia="cs-CZ"/>
              </w:rPr>
              <w:t xml:space="preserve"> hospod. činnost</w:t>
            </w:r>
          </w:p>
        </w:tc>
        <w:tc>
          <w:tcPr>
            <w:tcW w:w="1843"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HV z doplňkové hospod. činnosti </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Celkový HV</w:t>
            </w:r>
          </w:p>
        </w:tc>
      </w:tr>
      <w:tr w:rsidR="00475BD3" w:rsidRPr="002D271E" w:rsidTr="00312CB6">
        <w:trPr>
          <w:trHeight w:val="300"/>
        </w:trPr>
        <w:tc>
          <w:tcPr>
            <w:tcW w:w="799" w:type="dxa"/>
            <w:tcBorders>
              <w:top w:val="nil"/>
              <w:left w:val="single" w:sz="4" w:space="0" w:color="auto"/>
              <w:bottom w:val="single" w:sz="4" w:space="0" w:color="auto"/>
              <w:right w:val="single" w:sz="4" w:space="0" w:color="auto"/>
            </w:tcBorders>
            <w:shd w:val="clear" w:color="000000" w:fill="DAEEF3"/>
            <w:noWrap/>
            <w:vAlign w:val="bottom"/>
            <w:hideMark/>
          </w:tcPr>
          <w:p w:rsidR="00475BD3" w:rsidRPr="002D271E" w:rsidRDefault="00475BD3" w:rsidP="00312CB6">
            <w:pPr>
              <w:spacing w:after="0" w:line="240" w:lineRule="auto"/>
              <w:jc w:val="right"/>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2016</w:t>
            </w:r>
          </w:p>
        </w:tc>
        <w:tc>
          <w:tcPr>
            <w:tcW w:w="2051"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15 626 913,05 Kč </w:t>
            </w:r>
          </w:p>
        </w:tc>
        <w:tc>
          <w:tcPr>
            <w:tcW w:w="1985"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15 721 219,00 Kč </w:t>
            </w:r>
          </w:p>
        </w:tc>
        <w:tc>
          <w:tcPr>
            <w:tcW w:w="1701"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94 305,95 Kč </w:t>
            </w:r>
          </w:p>
        </w:tc>
        <w:tc>
          <w:tcPr>
            <w:tcW w:w="1701"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34 239,00 Kč </w:t>
            </w:r>
          </w:p>
        </w:tc>
        <w:tc>
          <w:tcPr>
            <w:tcW w:w="1701"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72 081,00 Kč </w:t>
            </w:r>
          </w:p>
        </w:tc>
        <w:tc>
          <w:tcPr>
            <w:tcW w:w="1843"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37 842,00 Kč </w:t>
            </w:r>
          </w:p>
        </w:tc>
        <w:tc>
          <w:tcPr>
            <w:tcW w:w="1701" w:type="dxa"/>
            <w:tcBorders>
              <w:top w:val="nil"/>
              <w:left w:val="nil"/>
              <w:bottom w:val="single" w:sz="4" w:space="0" w:color="auto"/>
              <w:right w:val="single" w:sz="4" w:space="0" w:color="auto"/>
            </w:tcBorders>
            <w:shd w:val="clear" w:color="000000" w:fill="FFC000"/>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132 147,95 Kč </w:t>
            </w:r>
          </w:p>
        </w:tc>
      </w:tr>
      <w:tr w:rsidR="00475BD3" w:rsidRPr="002D271E" w:rsidTr="00312CB6">
        <w:trPr>
          <w:trHeight w:val="300"/>
        </w:trPr>
        <w:tc>
          <w:tcPr>
            <w:tcW w:w="799" w:type="dxa"/>
            <w:tcBorders>
              <w:top w:val="nil"/>
              <w:left w:val="single" w:sz="4" w:space="0" w:color="auto"/>
              <w:bottom w:val="single" w:sz="4" w:space="0" w:color="auto"/>
              <w:right w:val="single" w:sz="4" w:space="0" w:color="auto"/>
            </w:tcBorders>
            <w:shd w:val="clear" w:color="000000" w:fill="DAEEF3"/>
            <w:noWrap/>
            <w:vAlign w:val="bottom"/>
            <w:hideMark/>
          </w:tcPr>
          <w:p w:rsidR="00475BD3" w:rsidRPr="002D271E" w:rsidRDefault="00475BD3" w:rsidP="00312CB6">
            <w:pPr>
              <w:spacing w:after="0" w:line="240" w:lineRule="auto"/>
              <w:jc w:val="right"/>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2015</w:t>
            </w:r>
          </w:p>
        </w:tc>
        <w:tc>
          <w:tcPr>
            <w:tcW w:w="2051"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15 088 153,31 Kč </w:t>
            </w:r>
          </w:p>
        </w:tc>
        <w:tc>
          <w:tcPr>
            <w:tcW w:w="1985"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15 363 575,59 Kč </w:t>
            </w:r>
          </w:p>
        </w:tc>
        <w:tc>
          <w:tcPr>
            <w:tcW w:w="1701"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275 422,28 Kč </w:t>
            </w:r>
          </w:p>
        </w:tc>
        <w:tc>
          <w:tcPr>
            <w:tcW w:w="1701"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44 920,00 Kč </w:t>
            </w:r>
          </w:p>
        </w:tc>
        <w:tc>
          <w:tcPr>
            <w:tcW w:w="1701"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58 695,00 Kč </w:t>
            </w:r>
          </w:p>
        </w:tc>
        <w:tc>
          <w:tcPr>
            <w:tcW w:w="1843"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13 775,00 Kč </w:t>
            </w:r>
          </w:p>
        </w:tc>
        <w:tc>
          <w:tcPr>
            <w:tcW w:w="1701" w:type="dxa"/>
            <w:tcBorders>
              <w:top w:val="nil"/>
              <w:left w:val="nil"/>
              <w:bottom w:val="single" w:sz="4" w:space="0" w:color="auto"/>
              <w:right w:val="single" w:sz="4" w:space="0" w:color="auto"/>
            </w:tcBorders>
            <w:shd w:val="clear" w:color="000000" w:fill="FFC000"/>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289 197,28 Kč </w:t>
            </w:r>
          </w:p>
        </w:tc>
      </w:tr>
      <w:tr w:rsidR="00475BD3" w:rsidRPr="002D271E" w:rsidTr="00312CB6">
        <w:trPr>
          <w:trHeight w:val="300"/>
        </w:trPr>
        <w:tc>
          <w:tcPr>
            <w:tcW w:w="799" w:type="dxa"/>
            <w:tcBorders>
              <w:top w:val="nil"/>
              <w:left w:val="single" w:sz="4" w:space="0" w:color="auto"/>
              <w:bottom w:val="single" w:sz="4" w:space="0" w:color="auto"/>
              <w:right w:val="single" w:sz="4" w:space="0" w:color="auto"/>
            </w:tcBorders>
            <w:shd w:val="clear" w:color="000000" w:fill="DAEEF3"/>
            <w:noWrap/>
            <w:vAlign w:val="bottom"/>
            <w:hideMark/>
          </w:tcPr>
          <w:p w:rsidR="00475BD3" w:rsidRPr="002D271E" w:rsidRDefault="00475BD3" w:rsidP="00312CB6">
            <w:pPr>
              <w:spacing w:after="0" w:line="240" w:lineRule="auto"/>
              <w:jc w:val="right"/>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2014</w:t>
            </w:r>
          </w:p>
        </w:tc>
        <w:tc>
          <w:tcPr>
            <w:tcW w:w="2051"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13 571 302,48 Kč </w:t>
            </w:r>
          </w:p>
        </w:tc>
        <w:tc>
          <w:tcPr>
            <w:tcW w:w="1985"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13 664 437,59 Kč </w:t>
            </w:r>
          </w:p>
        </w:tc>
        <w:tc>
          <w:tcPr>
            <w:tcW w:w="1701" w:type="dxa"/>
            <w:tcBorders>
              <w:top w:val="nil"/>
              <w:left w:val="nil"/>
              <w:bottom w:val="single" w:sz="4" w:space="0" w:color="auto"/>
              <w:right w:val="single" w:sz="4" w:space="0" w:color="auto"/>
            </w:tcBorders>
            <w:shd w:val="clear" w:color="000000" w:fill="FCD5B4"/>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93 135,11 Kč </w:t>
            </w:r>
          </w:p>
        </w:tc>
        <w:tc>
          <w:tcPr>
            <w:tcW w:w="1701"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27 144,00 Kč </w:t>
            </w:r>
          </w:p>
        </w:tc>
        <w:tc>
          <w:tcPr>
            <w:tcW w:w="1701"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60 477,00 Kč </w:t>
            </w:r>
          </w:p>
        </w:tc>
        <w:tc>
          <w:tcPr>
            <w:tcW w:w="1843" w:type="dxa"/>
            <w:tcBorders>
              <w:top w:val="nil"/>
              <w:left w:val="nil"/>
              <w:bottom w:val="single" w:sz="4" w:space="0" w:color="auto"/>
              <w:right w:val="single" w:sz="4" w:space="0" w:color="auto"/>
            </w:tcBorders>
            <w:shd w:val="clear" w:color="000000" w:fill="D8E4BC"/>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33 333,00 Kč </w:t>
            </w:r>
          </w:p>
        </w:tc>
        <w:tc>
          <w:tcPr>
            <w:tcW w:w="1701" w:type="dxa"/>
            <w:tcBorders>
              <w:top w:val="nil"/>
              <w:left w:val="nil"/>
              <w:bottom w:val="single" w:sz="4" w:space="0" w:color="auto"/>
              <w:right w:val="single" w:sz="4" w:space="0" w:color="auto"/>
            </w:tcBorders>
            <w:shd w:val="clear" w:color="000000" w:fill="FFC000"/>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126 468,11 Kč </w:t>
            </w:r>
          </w:p>
        </w:tc>
      </w:tr>
      <w:tr w:rsidR="00475BD3" w:rsidRPr="002D271E" w:rsidTr="00312CB6">
        <w:trPr>
          <w:trHeight w:val="315"/>
        </w:trPr>
        <w:tc>
          <w:tcPr>
            <w:tcW w:w="799"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205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985"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843"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r>
      <w:tr w:rsidR="00475BD3" w:rsidRPr="002D271E" w:rsidTr="00312CB6">
        <w:trPr>
          <w:trHeight w:val="930"/>
        </w:trPr>
        <w:tc>
          <w:tcPr>
            <w:tcW w:w="799" w:type="dxa"/>
            <w:tcBorders>
              <w:top w:val="single" w:sz="8" w:space="0" w:color="auto"/>
              <w:left w:val="single" w:sz="8" w:space="0" w:color="auto"/>
              <w:bottom w:val="nil"/>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stav k 31.12.</w:t>
            </w:r>
          </w:p>
        </w:tc>
        <w:tc>
          <w:tcPr>
            <w:tcW w:w="205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Fond odměn</w:t>
            </w:r>
          </w:p>
        </w:tc>
        <w:tc>
          <w:tcPr>
            <w:tcW w:w="1985"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Fond kulturních a sociálních potřeb</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Rezervní fond</w:t>
            </w:r>
          </w:p>
        </w:tc>
        <w:tc>
          <w:tcPr>
            <w:tcW w:w="1701" w:type="dxa"/>
            <w:tcBorders>
              <w:top w:val="single" w:sz="8" w:space="0" w:color="auto"/>
              <w:left w:val="nil"/>
              <w:bottom w:val="single" w:sz="8" w:space="0" w:color="auto"/>
              <w:right w:val="single" w:sz="8" w:space="0" w:color="auto"/>
            </w:tcBorders>
            <w:shd w:val="clear" w:color="000000" w:fill="FFFF00"/>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Fond Investic</w:t>
            </w: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843"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r>
      <w:tr w:rsidR="00475BD3" w:rsidRPr="002D271E" w:rsidTr="00312CB6">
        <w:trPr>
          <w:trHeight w:val="300"/>
        </w:trPr>
        <w:tc>
          <w:tcPr>
            <w:tcW w:w="799"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475BD3" w:rsidRPr="002D271E" w:rsidRDefault="00475BD3" w:rsidP="00312CB6">
            <w:pPr>
              <w:spacing w:after="0" w:line="240" w:lineRule="auto"/>
              <w:jc w:val="right"/>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2016</w:t>
            </w:r>
          </w:p>
        </w:tc>
        <w:tc>
          <w:tcPr>
            <w:tcW w:w="205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   Kč </w:t>
            </w:r>
          </w:p>
        </w:tc>
        <w:tc>
          <w:tcPr>
            <w:tcW w:w="1985"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50 294,48 Kč </w:t>
            </w:r>
          </w:p>
        </w:tc>
        <w:tc>
          <w:tcPr>
            <w:tcW w:w="170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414 232,96 Kč </w:t>
            </w:r>
          </w:p>
        </w:tc>
        <w:tc>
          <w:tcPr>
            <w:tcW w:w="170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   Kč </w:t>
            </w: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843"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r>
      <w:tr w:rsidR="00475BD3" w:rsidRPr="002D271E" w:rsidTr="00312CB6">
        <w:trPr>
          <w:trHeight w:val="300"/>
        </w:trPr>
        <w:tc>
          <w:tcPr>
            <w:tcW w:w="799" w:type="dxa"/>
            <w:tcBorders>
              <w:top w:val="nil"/>
              <w:left w:val="single" w:sz="4" w:space="0" w:color="auto"/>
              <w:bottom w:val="single" w:sz="4" w:space="0" w:color="auto"/>
              <w:right w:val="single" w:sz="4" w:space="0" w:color="auto"/>
            </w:tcBorders>
            <w:shd w:val="clear" w:color="000000" w:fill="DAEEF3"/>
            <w:noWrap/>
            <w:vAlign w:val="bottom"/>
            <w:hideMark/>
          </w:tcPr>
          <w:p w:rsidR="00475BD3" w:rsidRPr="002D271E" w:rsidRDefault="00475BD3" w:rsidP="00312CB6">
            <w:pPr>
              <w:spacing w:after="0" w:line="240" w:lineRule="auto"/>
              <w:jc w:val="right"/>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2015</w:t>
            </w:r>
          </w:p>
        </w:tc>
        <w:tc>
          <w:tcPr>
            <w:tcW w:w="205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   Kč </w:t>
            </w:r>
          </w:p>
        </w:tc>
        <w:tc>
          <w:tcPr>
            <w:tcW w:w="1985"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22 088,68 Kč </w:t>
            </w:r>
          </w:p>
        </w:tc>
        <w:tc>
          <w:tcPr>
            <w:tcW w:w="170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304 388,32 Kč </w:t>
            </w:r>
          </w:p>
        </w:tc>
        <w:tc>
          <w:tcPr>
            <w:tcW w:w="170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   Kč </w:t>
            </w: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843"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r>
      <w:tr w:rsidR="00475BD3" w:rsidRPr="002D271E" w:rsidTr="00312CB6">
        <w:trPr>
          <w:trHeight w:val="300"/>
        </w:trPr>
        <w:tc>
          <w:tcPr>
            <w:tcW w:w="799" w:type="dxa"/>
            <w:tcBorders>
              <w:top w:val="nil"/>
              <w:left w:val="single" w:sz="4" w:space="0" w:color="auto"/>
              <w:bottom w:val="single" w:sz="4" w:space="0" w:color="auto"/>
              <w:right w:val="single" w:sz="4" w:space="0" w:color="auto"/>
            </w:tcBorders>
            <w:shd w:val="clear" w:color="000000" w:fill="DAEEF3"/>
            <w:noWrap/>
            <w:vAlign w:val="bottom"/>
            <w:hideMark/>
          </w:tcPr>
          <w:p w:rsidR="00475BD3" w:rsidRPr="002D271E" w:rsidRDefault="00475BD3" w:rsidP="00312CB6">
            <w:pPr>
              <w:spacing w:after="0" w:line="240" w:lineRule="auto"/>
              <w:jc w:val="right"/>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2014</w:t>
            </w:r>
          </w:p>
        </w:tc>
        <w:tc>
          <w:tcPr>
            <w:tcW w:w="205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   Kč </w:t>
            </w:r>
          </w:p>
        </w:tc>
        <w:tc>
          <w:tcPr>
            <w:tcW w:w="1985"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26 789,68 Kč </w:t>
            </w:r>
          </w:p>
        </w:tc>
        <w:tc>
          <w:tcPr>
            <w:tcW w:w="170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198 542,80 Kč </w:t>
            </w:r>
          </w:p>
        </w:tc>
        <w:tc>
          <w:tcPr>
            <w:tcW w:w="1701" w:type="dxa"/>
            <w:tcBorders>
              <w:top w:val="nil"/>
              <w:left w:val="nil"/>
              <w:bottom w:val="single" w:sz="4" w:space="0" w:color="auto"/>
              <w:right w:val="single" w:sz="4" w:space="0" w:color="auto"/>
            </w:tcBorders>
            <w:shd w:val="clear" w:color="000000" w:fill="CC99FF"/>
            <w:noWrap/>
            <w:vAlign w:val="center"/>
            <w:hideMark/>
          </w:tcPr>
          <w:p w:rsidR="00475BD3" w:rsidRPr="002D271E" w:rsidRDefault="00475BD3" w:rsidP="00312CB6">
            <w:pPr>
              <w:spacing w:after="0" w:line="240" w:lineRule="auto"/>
              <w:jc w:val="center"/>
              <w:rPr>
                <w:rFonts w:ascii="Calibri" w:eastAsia="Times New Roman" w:hAnsi="Calibri" w:cs="Times New Roman"/>
                <w:color w:val="000000"/>
                <w:lang w:eastAsia="cs-CZ"/>
              </w:rPr>
            </w:pPr>
            <w:r w:rsidRPr="002D271E">
              <w:rPr>
                <w:rFonts w:ascii="Calibri" w:eastAsia="Times New Roman" w:hAnsi="Calibri" w:cs="Times New Roman"/>
                <w:color w:val="000000"/>
                <w:lang w:eastAsia="cs-CZ"/>
              </w:rPr>
              <w:t xml:space="preserve">                      -   Kč </w:t>
            </w: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843"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c>
          <w:tcPr>
            <w:tcW w:w="1701" w:type="dxa"/>
            <w:tcBorders>
              <w:top w:val="nil"/>
              <w:left w:val="nil"/>
              <w:bottom w:val="nil"/>
              <w:right w:val="nil"/>
            </w:tcBorders>
            <w:shd w:val="clear" w:color="auto" w:fill="auto"/>
            <w:noWrap/>
            <w:vAlign w:val="bottom"/>
            <w:hideMark/>
          </w:tcPr>
          <w:p w:rsidR="00475BD3" w:rsidRPr="002D271E" w:rsidRDefault="00475BD3" w:rsidP="00312CB6">
            <w:pPr>
              <w:spacing w:after="0" w:line="240" w:lineRule="auto"/>
              <w:rPr>
                <w:rFonts w:ascii="Calibri" w:eastAsia="Times New Roman" w:hAnsi="Calibri" w:cs="Times New Roman"/>
                <w:color w:val="000000"/>
                <w:lang w:eastAsia="cs-CZ"/>
              </w:rPr>
            </w:pPr>
          </w:p>
        </w:tc>
      </w:tr>
    </w:tbl>
    <w:p w:rsidR="002B51DB" w:rsidRDefault="002B51DB" w:rsidP="001C39BF">
      <w:pPr>
        <w:outlineLvl w:val="0"/>
      </w:pPr>
    </w:p>
    <w:p w:rsidR="001C39BF" w:rsidRPr="00875C2B" w:rsidRDefault="001C39BF" w:rsidP="001C39BF">
      <w:pPr>
        <w:outlineLvl w:val="0"/>
        <w:rPr>
          <w:color w:val="000000" w:themeColor="text1"/>
        </w:rPr>
      </w:pPr>
      <w:r>
        <w:t>Finanč</w:t>
      </w:r>
      <w:r w:rsidR="00603215">
        <w:t>ní vypořádání PO schváleno zastupitelstvem</w:t>
      </w:r>
      <w:r>
        <w:t xml:space="preserve"> dne 20.06.2017, usnesením </w:t>
      </w:r>
      <w:r w:rsidR="00875C2B" w:rsidRPr="00875C2B">
        <w:rPr>
          <w:color w:val="000000" w:themeColor="text1"/>
        </w:rPr>
        <w:t>č. 003/2017-03</w:t>
      </w:r>
    </w:p>
    <w:tbl>
      <w:tblPr>
        <w:tblW w:w="9429" w:type="dxa"/>
        <w:tblBorders>
          <w:top w:val="nil"/>
          <w:left w:val="nil"/>
          <w:bottom w:val="nil"/>
          <w:right w:val="nil"/>
        </w:tblBorders>
        <w:tblLayout w:type="fixed"/>
        <w:tblLook w:val="0000" w:firstRow="0" w:lastRow="0" w:firstColumn="0" w:lastColumn="0" w:noHBand="0" w:noVBand="0"/>
      </w:tblPr>
      <w:tblGrid>
        <w:gridCol w:w="2093"/>
        <w:gridCol w:w="264"/>
        <w:gridCol w:w="2357"/>
        <w:gridCol w:w="356"/>
        <w:gridCol w:w="2001"/>
        <w:gridCol w:w="2358"/>
      </w:tblGrid>
      <w:tr w:rsidR="00914CA4" w:rsidTr="00312CB6">
        <w:trPr>
          <w:trHeight w:val="229"/>
        </w:trPr>
        <w:tc>
          <w:tcPr>
            <w:tcW w:w="2093" w:type="dxa"/>
          </w:tcPr>
          <w:p w:rsidR="00914CA4" w:rsidRDefault="00914CA4" w:rsidP="00312CB6">
            <w:pPr>
              <w:pStyle w:val="Default"/>
              <w:rPr>
                <w:b/>
                <w:bCs/>
                <w:sz w:val="22"/>
                <w:szCs w:val="22"/>
              </w:rPr>
            </w:pPr>
            <w:r>
              <w:rPr>
                <w:b/>
                <w:bCs/>
                <w:sz w:val="22"/>
                <w:szCs w:val="22"/>
              </w:rPr>
              <w:t>Příspěvková</w:t>
            </w:r>
          </w:p>
          <w:p w:rsidR="00914CA4" w:rsidRDefault="00914CA4" w:rsidP="00312CB6">
            <w:pPr>
              <w:pStyle w:val="Default"/>
              <w:rPr>
                <w:sz w:val="22"/>
                <w:szCs w:val="22"/>
              </w:rPr>
            </w:pPr>
            <w:r>
              <w:rPr>
                <w:b/>
                <w:bCs/>
                <w:sz w:val="22"/>
                <w:szCs w:val="22"/>
              </w:rPr>
              <w:t xml:space="preserve"> organizace </w:t>
            </w:r>
          </w:p>
        </w:tc>
        <w:tc>
          <w:tcPr>
            <w:tcW w:w="2977" w:type="dxa"/>
            <w:gridSpan w:val="3"/>
          </w:tcPr>
          <w:p w:rsidR="00914CA4" w:rsidRDefault="00914CA4" w:rsidP="00312CB6">
            <w:pPr>
              <w:pStyle w:val="Default"/>
              <w:rPr>
                <w:b/>
                <w:bCs/>
                <w:sz w:val="22"/>
                <w:szCs w:val="22"/>
              </w:rPr>
            </w:pPr>
            <w:r>
              <w:rPr>
                <w:b/>
                <w:bCs/>
                <w:sz w:val="22"/>
                <w:szCs w:val="22"/>
              </w:rPr>
              <w:t>Hospodářský výsledek</w:t>
            </w:r>
          </w:p>
          <w:p w:rsidR="00914CA4" w:rsidRDefault="00914CA4" w:rsidP="00312CB6">
            <w:pPr>
              <w:pStyle w:val="Default"/>
              <w:rPr>
                <w:sz w:val="22"/>
                <w:szCs w:val="22"/>
              </w:rPr>
            </w:pPr>
            <w:r>
              <w:rPr>
                <w:b/>
                <w:bCs/>
                <w:sz w:val="22"/>
                <w:szCs w:val="22"/>
              </w:rPr>
              <w:t xml:space="preserve"> za rok 2016 </w:t>
            </w:r>
          </w:p>
        </w:tc>
        <w:tc>
          <w:tcPr>
            <w:tcW w:w="4359" w:type="dxa"/>
            <w:gridSpan w:val="2"/>
          </w:tcPr>
          <w:p w:rsidR="00914CA4" w:rsidRDefault="00914CA4" w:rsidP="00312CB6">
            <w:pPr>
              <w:pStyle w:val="Default"/>
              <w:rPr>
                <w:sz w:val="22"/>
                <w:szCs w:val="22"/>
              </w:rPr>
            </w:pPr>
            <w:r>
              <w:rPr>
                <w:b/>
                <w:bCs/>
                <w:sz w:val="22"/>
                <w:szCs w:val="22"/>
              </w:rPr>
              <w:t xml:space="preserve">Návrh na rozdělení HV předložený příspěvkovou organizací </w:t>
            </w:r>
          </w:p>
        </w:tc>
      </w:tr>
      <w:tr w:rsidR="00914CA4" w:rsidTr="00312CB6">
        <w:trPr>
          <w:trHeight w:val="93"/>
        </w:trPr>
        <w:tc>
          <w:tcPr>
            <w:tcW w:w="2357" w:type="dxa"/>
            <w:gridSpan w:val="2"/>
          </w:tcPr>
          <w:p w:rsidR="00914CA4" w:rsidRDefault="00914CA4" w:rsidP="00312CB6">
            <w:pPr>
              <w:pStyle w:val="Default"/>
              <w:rPr>
                <w:sz w:val="20"/>
                <w:szCs w:val="20"/>
              </w:rPr>
            </w:pPr>
            <w:r>
              <w:rPr>
                <w:i/>
                <w:iCs/>
                <w:sz w:val="20"/>
                <w:szCs w:val="20"/>
              </w:rPr>
              <w:t xml:space="preserve">název </w:t>
            </w:r>
          </w:p>
        </w:tc>
        <w:tc>
          <w:tcPr>
            <w:tcW w:w="2357" w:type="dxa"/>
          </w:tcPr>
          <w:p w:rsidR="00914CA4" w:rsidRDefault="00914CA4" w:rsidP="00312CB6">
            <w:pPr>
              <w:pStyle w:val="Default"/>
              <w:rPr>
                <w:sz w:val="20"/>
                <w:szCs w:val="20"/>
              </w:rPr>
            </w:pPr>
            <w:r>
              <w:rPr>
                <w:i/>
                <w:iCs/>
                <w:sz w:val="20"/>
                <w:szCs w:val="20"/>
              </w:rPr>
              <w:t xml:space="preserve">v Kč </w:t>
            </w:r>
          </w:p>
        </w:tc>
        <w:tc>
          <w:tcPr>
            <w:tcW w:w="2357" w:type="dxa"/>
            <w:gridSpan w:val="2"/>
          </w:tcPr>
          <w:p w:rsidR="00914CA4" w:rsidRDefault="00914CA4" w:rsidP="00312CB6">
            <w:pPr>
              <w:pStyle w:val="Default"/>
              <w:rPr>
                <w:sz w:val="20"/>
                <w:szCs w:val="20"/>
              </w:rPr>
            </w:pPr>
            <w:r>
              <w:rPr>
                <w:i/>
                <w:iCs/>
                <w:sz w:val="20"/>
                <w:szCs w:val="20"/>
              </w:rPr>
              <w:t xml:space="preserve">       fond odměn </w:t>
            </w:r>
          </w:p>
        </w:tc>
        <w:tc>
          <w:tcPr>
            <w:tcW w:w="2358" w:type="dxa"/>
          </w:tcPr>
          <w:p w:rsidR="00914CA4" w:rsidRDefault="00914CA4" w:rsidP="00312CB6">
            <w:pPr>
              <w:pStyle w:val="Default"/>
              <w:rPr>
                <w:sz w:val="20"/>
                <w:szCs w:val="20"/>
              </w:rPr>
            </w:pPr>
            <w:r>
              <w:rPr>
                <w:i/>
                <w:iCs/>
                <w:sz w:val="20"/>
                <w:szCs w:val="20"/>
              </w:rPr>
              <w:t xml:space="preserve">rezervní fond </w:t>
            </w:r>
          </w:p>
        </w:tc>
      </w:tr>
      <w:tr w:rsidR="00914CA4" w:rsidTr="00312CB6">
        <w:trPr>
          <w:trHeight w:val="94"/>
        </w:trPr>
        <w:tc>
          <w:tcPr>
            <w:tcW w:w="2357" w:type="dxa"/>
            <w:gridSpan w:val="2"/>
          </w:tcPr>
          <w:p w:rsidR="00914CA4" w:rsidRDefault="00914CA4" w:rsidP="00312CB6">
            <w:pPr>
              <w:pStyle w:val="Default"/>
              <w:rPr>
                <w:sz w:val="20"/>
                <w:szCs w:val="20"/>
              </w:rPr>
            </w:pPr>
            <w:r>
              <w:rPr>
                <w:i/>
                <w:iCs/>
                <w:sz w:val="20"/>
                <w:szCs w:val="20"/>
              </w:rPr>
              <w:t xml:space="preserve">ZŠ a MŠ Žalany  </w:t>
            </w:r>
          </w:p>
        </w:tc>
        <w:tc>
          <w:tcPr>
            <w:tcW w:w="2357" w:type="dxa"/>
          </w:tcPr>
          <w:p w:rsidR="00914CA4" w:rsidRDefault="00914CA4" w:rsidP="00312CB6">
            <w:pPr>
              <w:pStyle w:val="Default"/>
              <w:rPr>
                <w:sz w:val="20"/>
                <w:szCs w:val="20"/>
              </w:rPr>
            </w:pPr>
            <w:r>
              <w:rPr>
                <w:sz w:val="20"/>
                <w:szCs w:val="20"/>
              </w:rPr>
              <w:t xml:space="preserve">132.147,95 </w:t>
            </w:r>
          </w:p>
        </w:tc>
        <w:tc>
          <w:tcPr>
            <w:tcW w:w="2357" w:type="dxa"/>
            <w:gridSpan w:val="2"/>
          </w:tcPr>
          <w:p w:rsidR="00914CA4" w:rsidRDefault="00914CA4" w:rsidP="00312CB6">
            <w:pPr>
              <w:pStyle w:val="Default"/>
              <w:rPr>
                <w:sz w:val="20"/>
                <w:szCs w:val="20"/>
              </w:rPr>
            </w:pPr>
            <w:r>
              <w:rPr>
                <w:sz w:val="20"/>
                <w:szCs w:val="20"/>
              </w:rPr>
              <w:t xml:space="preserve">       0,00 Kč </w:t>
            </w:r>
          </w:p>
        </w:tc>
        <w:tc>
          <w:tcPr>
            <w:tcW w:w="2358" w:type="dxa"/>
          </w:tcPr>
          <w:p w:rsidR="00914CA4" w:rsidRDefault="00914CA4" w:rsidP="00312CB6">
            <w:pPr>
              <w:pStyle w:val="Default"/>
              <w:rPr>
                <w:sz w:val="20"/>
                <w:szCs w:val="20"/>
              </w:rPr>
            </w:pPr>
            <w:r>
              <w:rPr>
                <w:sz w:val="20"/>
                <w:szCs w:val="20"/>
              </w:rPr>
              <w:t xml:space="preserve">132.147,95 Kč </w:t>
            </w:r>
          </w:p>
        </w:tc>
      </w:tr>
    </w:tbl>
    <w:p w:rsidR="00914CA4" w:rsidRPr="002A79B5" w:rsidRDefault="00D95D16" w:rsidP="002A79B5">
      <w:pPr>
        <w:pStyle w:val="Default"/>
        <w:rPr>
          <w:rFonts w:asciiTheme="minorHAnsi" w:hAnsiTheme="minorHAnsi" w:cstheme="minorBidi"/>
          <w:color w:val="auto"/>
          <w:sz w:val="22"/>
          <w:szCs w:val="22"/>
        </w:rPr>
      </w:pPr>
      <w:r w:rsidRPr="00D95D16">
        <w:rPr>
          <w:rFonts w:asciiTheme="minorHAnsi" w:hAnsiTheme="minorHAnsi" w:cstheme="minorBidi"/>
          <w:color w:val="auto"/>
          <w:sz w:val="22"/>
          <w:szCs w:val="22"/>
        </w:rPr>
        <w:lastRenderedPageBreak/>
        <w:t>Veškeré náklady, výnosy jsou uvedeny v</w:t>
      </w:r>
      <w:r>
        <w:rPr>
          <w:rFonts w:asciiTheme="minorHAnsi" w:hAnsiTheme="minorHAnsi" w:cstheme="minorBidi"/>
          <w:color w:val="auto"/>
          <w:sz w:val="22"/>
          <w:szCs w:val="22"/>
        </w:rPr>
        <w:t> </w:t>
      </w:r>
      <w:r w:rsidRPr="00D95D16">
        <w:rPr>
          <w:rFonts w:asciiTheme="minorHAnsi" w:hAnsiTheme="minorHAnsi" w:cstheme="minorBidi"/>
          <w:color w:val="auto"/>
          <w:sz w:val="22"/>
          <w:szCs w:val="22"/>
        </w:rPr>
        <w:t>příloze</w:t>
      </w:r>
      <w:r>
        <w:rPr>
          <w:rFonts w:asciiTheme="minorHAnsi" w:hAnsiTheme="minorHAnsi" w:cstheme="minorBidi"/>
          <w:color w:val="auto"/>
          <w:sz w:val="22"/>
          <w:szCs w:val="22"/>
        </w:rPr>
        <w:t xml:space="preserve"> č.</w:t>
      </w:r>
      <w:r w:rsidR="00162BCB">
        <w:rPr>
          <w:rFonts w:asciiTheme="minorHAnsi" w:hAnsiTheme="minorHAnsi" w:cstheme="minorBidi"/>
          <w:color w:val="auto"/>
          <w:sz w:val="22"/>
          <w:szCs w:val="22"/>
        </w:rPr>
        <w:t>3</w:t>
      </w:r>
      <w:r>
        <w:rPr>
          <w:rFonts w:asciiTheme="minorHAnsi" w:hAnsiTheme="minorHAnsi" w:cstheme="minorBidi"/>
          <w:color w:val="auto"/>
          <w:sz w:val="22"/>
          <w:szCs w:val="22"/>
        </w:rPr>
        <w:t xml:space="preserve">: </w:t>
      </w:r>
      <w:r w:rsidRPr="00D95D16">
        <w:rPr>
          <w:rFonts w:asciiTheme="minorHAnsi" w:hAnsiTheme="minorHAnsi" w:cstheme="minorBidi"/>
          <w:color w:val="auto"/>
          <w:sz w:val="22"/>
          <w:szCs w:val="22"/>
        </w:rPr>
        <w:t>Rozvaha, výkaz zisku a ztráty</w:t>
      </w:r>
      <w:r>
        <w:rPr>
          <w:rFonts w:asciiTheme="minorHAnsi" w:hAnsiTheme="minorHAnsi" w:cstheme="minorBidi"/>
          <w:color w:val="auto"/>
          <w:sz w:val="22"/>
          <w:szCs w:val="22"/>
        </w:rPr>
        <w:t>, příloha</w:t>
      </w:r>
      <w:r w:rsidRPr="00D95D16">
        <w:rPr>
          <w:rFonts w:asciiTheme="minorHAnsi" w:hAnsiTheme="minorHAnsi" w:cstheme="minorBidi"/>
          <w:color w:val="auto"/>
          <w:sz w:val="22"/>
          <w:szCs w:val="22"/>
        </w:rPr>
        <w:t xml:space="preserve"> ZŠ a MŠ Žalany</w:t>
      </w:r>
      <w:r>
        <w:rPr>
          <w:rFonts w:asciiTheme="minorHAnsi" w:hAnsiTheme="minorHAnsi" w:cstheme="minorBidi"/>
          <w:color w:val="auto"/>
          <w:sz w:val="22"/>
          <w:szCs w:val="22"/>
        </w:rPr>
        <w:t>.</w:t>
      </w:r>
      <w:r w:rsidR="002B51DB">
        <w:rPr>
          <w:rFonts w:asciiTheme="minorHAnsi" w:hAnsiTheme="minorHAnsi" w:cstheme="minorBidi"/>
          <w:color w:val="auto"/>
          <w:sz w:val="22"/>
          <w:szCs w:val="22"/>
        </w:rPr>
        <w:t xml:space="preserve"> </w:t>
      </w:r>
      <w:r w:rsidRPr="002A79B5">
        <w:rPr>
          <w:rFonts w:asciiTheme="minorHAnsi" w:hAnsiTheme="minorHAnsi" w:cstheme="minorBidi"/>
          <w:color w:val="auto"/>
          <w:sz w:val="22"/>
          <w:szCs w:val="22"/>
        </w:rPr>
        <w:t>Roční účetní závěrka zřizované příspěvkové organizace včetně všech zákonem přede</w:t>
      </w:r>
      <w:r w:rsidRPr="002A79B5">
        <w:rPr>
          <w:rFonts w:asciiTheme="minorHAnsi" w:hAnsiTheme="minorHAnsi" w:cstheme="minorBidi"/>
          <w:color w:val="auto"/>
          <w:sz w:val="22"/>
          <w:szCs w:val="22"/>
        </w:rPr>
        <w:softHyphen/>
        <w:t>psaných výkazů</w:t>
      </w:r>
      <w:r w:rsidR="00162BCB" w:rsidRPr="002A79B5">
        <w:rPr>
          <w:rFonts w:asciiTheme="minorHAnsi" w:hAnsiTheme="minorHAnsi" w:cstheme="minorBidi"/>
          <w:color w:val="auto"/>
          <w:sz w:val="22"/>
          <w:szCs w:val="22"/>
        </w:rPr>
        <w:t xml:space="preserve"> je</w:t>
      </w:r>
      <w:r w:rsidRPr="002A79B5">
        <w:rPr>
          <w:rFonts w:asciiTheme="minorHAnsi" w:hAnsiTheme="minorHAnsi" w:cstheme="minorBidi"/>
          <w:color w:val="auto"/>
          <w:sz w:val="22"/>
          <w:szCs w:val="22"/>
        </w:rPr>
        <w:t xml:space="preserve"> založ</w:t>
      </w:r>
      <w:r w:rsidR="00162BCB" w:rsidRPr="002A79B5">
        <w:rPr>
          <w:rFonts w:asciiTheme="minorHAnsi" w:hAnsiTheme="minorHAnsi" w:cstheme="minorBidi"/>
          <w:color w:val="auto"/>
          <w:sz w:val="22"/>
          <w:szCs w:val="22"/>
        </w:rPr>
        <w:t>ena</w:t>
      </w:r>
      <w:r w:rsidRPr="002A79B5">
        <w:rPr>
          <w:rFonts w:asciiTheme="minorHAnsi" w:hAnsiTheme="minorHAnsi" w:cstheme="minorBidi"/>
          <w:color w:val="auto"/>
          <w:sz w:val="22"/>
          <w:szCs w:val="22"/>
        </w:rPr>
        <w:t xml:space="preserve"> na obecním úřadu u účetní obce. </w:t>
      </w:r>
    </w:p>
    <w:p w:rsidR="001C39BF" w:rsidRDefault="002A79B5" w:rsidP="001C39BF">
      <w:pPr>
        <w:outlineLvl w:val="0"/>
      </w:pPr>
      <w:r>
        <w:t xml:space="preserve">V roce 2016 proběhly v PO ZŠ a MŠ vnitřní kontroly – finanční výbor. Kontroly byly zaměřeny na hospodaření ZŠ a MŠ se svěřenými prostředky zřizovatele a plnění úkolů k čemu byla PO zřízena. Výsledky kontrol - bez </w:t>
      </w:r>
      <w:r w:rsidR="00532DA3">
        <w:t xml:space="preserve">výhrad a závažných pochybení. </w:t>
      </w:r>
    </w:p>
    <w:p w:rsidR="007F1AAB" w:rsidRPr="00A319FE" w:rsidRDefault="007F1AAB" w:rsidP="007F1AAB">
      <w:pPr>
        <w:rPr>
          <w:rFonts w:ascii="Arial" w:hAnsi="Arial" w:cs="Arial"/>
          <w:b/>
          <w:sz w:val="18"/>
          <w:szCs w:val="18"/>
        </w:rPr>
      </w:pPr>
      <w:r>
        <w:rPr>
          <w:rFonts w:ascii="Arial" w:hAnsi="Arial" w:cs="Arial"/>
          <w:b/>
          <w:sz w:val="18"/>
          <w:szCs w:val="18"/>
        </w:rPr>
        <w:t>6</w:t>
      </w:r>
      <w:r w:rsidRPr="00A319FE">
        <w:rPr>
          <w:rFonts w:ascii="Arial" w:hAnsi="Arial" w:cs="Arial"/>
          <w:b/>
          <w:sz w:val="18"/>
          <w:szCs w:val="18"/>
        </w:rPr>
        <w:t>. Vyúčtování finančních vztahů ke státnímu rozpočtu, k rozpočtům krajů, obcí, státním fondům, Národnímu fondu a jiným rozpočtům a k hospodaření dalších osob</w:t>
      </w:r>
    </w:p>
    <w:p w:rsidR="007F1AAB" w:rsidRDefault="007F1AAB" w:rsidP="007F1AAB">
      <w:pPr>
        <w:pStyle w:val="Default"/>
      </w:pPr>
    </w:p>
    <w:p w:rsidR="007F1AAB" w:rsidRPr="004004FF" w:rsidRDefault="007F1AAB" w:rsidP="007F1AAB">
      <w:pPr>
        <w:rPr>
          <w:rFonts w:cs="Minion Pro"/>
        </w:rPr>
      </w:pPr>
      <w:r>
        <w:t>Dotace do rozpočtu obce za rok 201</w:t>
      </w:r>
      <w:r w:rsidR="00532DA3">
        <w:t xml:space="preserve">6 </w:t>
      </w:r>
      <w:r>
        <w:t xml:space="preserve">činily celkem </w:t>
      </w:r>
      <w:r w:rsidR="00A03757">
        <w:t>1.551.143</w:t>
      </w:r>
      <w:r>
        <w:t xml:space="preserve"> Kč. Rozpis přijatých dotací a je</w:t>
      </w:r>
      <w:r w:rsidR="004004FF">
        <w:t>jich čerpání v průběhu roku 2016</w:t>
      </w:r>
      <w:r>
        <w:t xml:space="preserve"> je zpracován v tabulce. Dotace byly řádně vyúčtovány, nevyčerpané finanční prostředky z dotace na volby ve výši</w:t>
      </w:r>
      <w:r w:rsidR="00B638B7">
        <w:t xml:space="preserve"> </w:t>
      </w:r>
      <w:r w:rsidR="00A03757">
        <w:t xml:space="preserve"> </w:t>
      </w:r>
      <w:r w:rsidR="004004FF">
        <w:t>10.860,- Kč</w:t>
      </w:r>
      <w:r>
        <w:t xml:space="preserve"> byly vráceny do stát</w:t>
      </w:r>
      <w:r>
        <w:rPr>
          <w:rFonts w:cs="Minion Pro"/>
        </w:rPr>
        <w:softHyphen/>
        <w:t xml:space="preserve">ního rozpočtu </w:t>
      </w:r>
      <w:r w:rsidR="004004FF">
        <w:rPr>
          <w:rFonts w:cs="Minion Pro"/>
        </w:rPr>
        <w:t>v 1Q/ 2017</w:t>
      </w:r>
      <w:r>
        <w:rPr>
          <w:rFonts w:cs="Minion Pro"/>
        </w:rPr>
        <w:t>.</w:t>
      </w:r>
    </w:p>
    <w:p w:rsidR="007F1AAB" w:rsidRPr="00A319FE" w:rsidRDefault="00D82076" w:rsidP="007F1AAB">
      <w:pPr>
        <w:rPr>
          <w:rFonts w:ascii="Arial" w:hAnsi="Arial" w:cs="Arial"/>
          <w:sz w:val="18"/>
          <w:szCs w:val="18"/>
        </w:rPr>
      </w:pPr>
      <w:r>
        <w:rPr>
          <w:rFonts w:ascii="Arial" w:hAnsi="Arial" w:cs="Arial"/>
          <w:sz w:val="18"/>
          <w:szCs w:val="18"/>
        </w:rPr>
        <w:t>Přijaté prostředky v tis. CZK</w:t>
      </w:r>
    </w:p>
    <w:tbl>
      <w:tblPr>
        <w:tblW w:w="8652" w:type="dxa"/>
        <w:tblInd w:w="65" w:type="dxa"/>
        <w:tblCellMar>
          <w:left w:w="70" w:type="dxa"/>
          <w:right w:w="70" w:type="dxa"/>
        </w:tblCellMar>
        <w:tblLook w:val="0000" w:firstRow="0" w:lastRow="0" w:firstColumn="0" w:lastColumn="0" w:noHBand="0" w:noVBand="0"/>
      </w:tblPr>
      <w:tblGrid>
        <w:gridCol w:w="1161"/>
        <w:gridCol w:w="2672"/>
        <w:gridCol w:w="781"/>
        <w:gridCol w:w="1487"/>
        <w:gridCol w:w="1417"/>
        <w:gridCol w:w="1134"/>
      </w:tblGrid>
      <w:tr w:rsidR="00D82076" w:rsidRPr="00A319FE" w:rsidTr="00D82076">
        <w:trPr>
          <w:trHeight w:val="225"/>
        </w:trPr>
        <w:tc>
          <w:tcPr>
            <w:tcW w:w="116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82076" w:rsidRPr="00A319FE" w:rsidRDefault="00D82076" w:rsidP="00312CB6">
            <w:pPr>
              <w:jc w:val="center"/>
              <w:rPr>
                <w:rFonts w:ascii="Arial" w:hAnsi="Arial" w:cs="Arial"/>
                <w:sz w:val="18"/>
                <w:szCs w:val="18"/>
              </w:rPr>
            </w:pPr>
            <w:r>
              <w:rPr>
                <w:rFonts w:ascii="Arial" w:hAnsi="Arial" w:cs="Arial"/>
                <w:sz w:val="18"/>
                <w:szCs w:val="18"/>
              </w:rPr>
              <w:t>Poskytovatel</w:t>
            </w:r>
          </w:p>
        </w:tc>
        <w:tc>
          <w:tcPr>
            <w:tcW w:w="2672" w:type="dxa"/>
            <w:tcBorders>
              <w:top w:val="single" w:sz="4" w:space="0" w:color="auto"/>
              <w:left w:val="nil"/>
              <w:bottom w:val="single" w:sz="4" w:space="0" w:color="auto"/>
              <w:right w:val="single" w:sz="4" w:space="0" w:color="auto"/>
            </w:tcBorders>
            <w:shd w:val="clear" w:color="auto" w:fill="C0C0C0"/>
            <w:noWrap/>
            <w:vAlign w:val="bottom"/>
          </w:tcPr>
          <w:p w:rsidR="00D82076" w:rsidRPr="00A319FE" w:rsidRDefault="00D82076" w:rsidP="00D82076">
            <w:pPr>
              <w:rPr>
                <w:rFonts w:ascii="Arial" w:hAnsi="Arial" w:cs="Arial"/>
                <w:sz w:val="18"/>
                <w:szCs w:val="18"/>
              </w:rPr>
            </w:pPr>
            <w:r>
              <w:rPr>
                <w:rFonts w:ascii="Arial" w:hAnsi="Arial" w:cs="Arial"/>
                <w:sz w:val="18"/>
                <w:szCs w:val="18"/>
              </w:rPr>
              <w:t xml:space="preserve">         Účel </w:t>
            </w:r>
          </w:p>
        </w:tc>
        <w:tc>
          <w:tcPr>
            <w:tcW w:w="781" w:type="dxa"/>
            <w:tcBorders>
              <w:top w:val="single" w:sz="4" w:space="0" w:color="auto"/>
              <w:left w:val="nil"/>
              <w:bottom w:val="single" w:sz="4" w:space="0" w:color="auto"/>
              <w:right w:val="single" w:sz="4" w:space="0" w:color="auto"/>
            </w:tcBorders>
            <w:shd w:val="clear" w:color="auto" w:fill="C0C0C0"/>
            <w:noWrap/>
            <w:vAlign w:val="bottom"/>
          </w:tcPr>
          <w:p w:rsidR="00D82076" w:rsidRPr="00A319FE" w:rsidRDefault="00D82076" w:rsidP="00312CB6">
            <w:pPr>
              <w:jc w:val="center"/>
              <w:rPr>
                <w:rFonts w:ascii="Arial" w:hAnsi="Arial" w:cs="Arial"/>
                <w:sz w:val="18"/>
                <w:szCs w:val="18"/>
              </w:rPr>
            </w:pPr>
            <w:r>
              <w:rPr>
                <w:rFonts w:ascii="Arial" w:hAnsi="Arial" w:cs="Arial"/>
                <w:sz w:val="18"/>
                <w:szCs w:val="18"/>
              </w:rPr>
              <w:t>Položka</w:t>
            </w:r>
          </w:p>
        </w:tc>
        <w:tc>
          <w:tcPr>
            <w:tcW w:w="1487" w:type="dxa"/>
            <w:tcBorders>
              <w:top w:val="single" w:sz="4" w:space="0" w:color="auto"/>
              <w:left w:val="nil"/>
              <w:bottom w:val="single" w:sz="4" w:space="0" w:color="auto"/>
              <w:right w:val="single" w:sz="4" w:space="0" w:color="auto"/>
            </w:tcBorders>
            <w:shd w:val="clear" w:color="auto" w:fill="C0C0C0"/>
            <w:noWrap/>
            <w:vAlign w:val="bottom"/>
          </w:tcPr>
          <w:p w:rsidR="00D82076" w:rsidRPr="00A319FE" w:rsidRDefault="00D82076" w:rsidP="00312CB6">
            <w:pPr>
              <w:jc w:val="center"/>
              <w:rPr>
                <w:rFonts w:ascii="Arial" w:hAnsi="Arial" w:cs="Arial"/>
                <w:sz w:val="18"/>
                <w:szCs w:val="18"/>
              </w:rPr>
            </w:pPr>
            <w:r>
              <w:rPr>
                <w:rFonts w:ascii="Arial" w:hAnsi="Arial" w:cs="Arial"/>
                <w:sz w:val="18"/>
                <w:szCs w:val="18"/>
              </w:rPr>
              <w:t xml:space="preserve">Rozpočet </w:t>
            </w:r>
          </w:p>
        </w:tc>
        <w:tc>
          <w:tcPr>
            <w:tcW w:w="1417" w:type="dxa"/>
            <w:tcBorders>
              <w:top w:val="single" w:sz="4" w:space="0" w:color="auto"/>
              <w:left w:val="nil"/>
              <w:bottom w:val="single" w:sz="4" w:space="0" w:color="auto"/>
              <w:right w:val="single" w:sz="4" w:space="0" w:color="auto"/>
            </w:tcBorders>
            <w:shd w:val="clear" w:color="auto" w:fill="C0C0C0"/>
          </w:tcPr>
          <w:p w:rsidR="00D82076" w:rsidRDefault="00D82076" w:rsidP="00312CB6">
            <w:pPr>
              <w:jc w:val="center"/>
              <w:rPr>
                <w:rFonts w:ascii="Arial" w:hAnsi="Arial" w:cs="Arial"/>
                <w:sz w:val="18"/>
                <w:szCs w:val="18"/>
              </w:rPr>
            </w:pPr>
          </w:p>
          <w:p w:rsidR="00D82076" w:rsidRDefault="00D82076" w:rsidP="00312CB6">
            <w:pPr>
              <w:jc w:val="center"/>
              <w:rPr>
                <w:rFonts w:ascii="Arial" w:hAnsi="Arial" w:cs="Arial"/>
                <w:sz w:val="18"/>
                <w:szCs w:val="18"/>
              </w:rPr>
            </w:pPr>
            <w:r>
              <w:rPr>
                <w:rFonts w:ascii="Arial" w:hAnsi="Arial" w:cs="Arial"/>
                <w:sz w:val="18"/>
                <w:szCs w:val="18"/>
              </w:rPr>
              <w:t xml:space="preserve">Čerpání </w:t>
            </w:r>
          </w:p>
        </w:tc>
        <w:tc>
          <w:tcPr>
            <w:tcW w:w="1134" w:type="dxa"/>
            <w:tcBorders>
              <w:top w:val="single" w:sz="4" w:space="0" w:color="auto"/>
              <w:left w:val="nil"/>
              <w:bottom w:val="single" w:sz="4" w:space="0" w:color="auto"/>
              <w:right w:val="single" w:sz="4" w:space="0" w:color="auto"/>
            </w:tcBorders>
            <w:shd w:val="clear" w:color="auto" w:fill="C0C0C0"/>
          </w:tcPr>
          <w:p w:rsidR="00D82076" w:rsidRDefault="00D82076" w:rsidP="00312CB6">
            <w:pPr>
              <w:jc w:val="center"/>
              <w:rPr>
                <w:rFonts w:ascii="Arial" w:hAnsi="Arial" w:cs="Arial"/>
                <w:sz w:val="18"/>
                <w:szCs w:val="18"/>
              </w:rPr>
            </w:pPr>
          </w:p>
          <w:p w:rsidR="00D82076" w:rsidRDefault="00D82076" w:rsidP="00312CB6">
            <w:pPr>
              <w:jc w:val="center"/>
              <w:rPr>
                <w:rFonts w:ascii="Arial" w:hAnsi="Arial" w:cs="Arial"/>
                <w:sz w:val="18"/>
                <w:szCs w:val="18"/>
              </w:rPr>
            </w:pPr>
            <w:r>
              <w:rPr>
                <w:rFonts w:ascii="Arial" w:hAnsi="Arial" w:cs="Arial"/>
                <w:sz w:val="18"/>
                <w:szCs w:val="18"/>
              </w:rPr>
              <w:t>%</w:t>
            </w:r>
          </w:p>
        </w:tc>
      </w:tr>
      <w:tr w:rsidR="00D82076" w:rsidRPr="00A319FE" w:rsidTr="00D82076">
        <w:trPr>
          <w:trHeight w:val="225"/>
        </w:trPr>
        <w:tc>
          <w:tcPr>
            <w:tcW w:w="1161" w:type="dxa"/>
            <w:tcBorders>
              <w:top w:val="nil"/>
              <w:left w:val="single" w:sz="4" w:space="0" w:color="auto"/>
              <w:bottom w:val="single" w:sz="4" w:space="0" w:color="auto"/>
              <w:right w:val="single" w:sz="4" w:space="0" w:color="auto"/>
            </w:tcBorders>
            <w:shd w:val="clear" w:color="auto" w:fill="auto"/>
            <w:noWrap/>
            <w:vAlign w:val="bottom"/>
          </w:tcPr>
          <w:tbl>
            <w:tblPr>
              <w:tblW w:w="0" w:type="auto"/>
              <w:tblBorders>
                <w:top w:val="nil"/>
                <w:left w:val="nil"/>
                <w:bottom w:val="nil"/>
                <w:right w:val="nil"/>
              </w:tblBorders>
              <w:tblLook w:val="0000" w:firstRow="0" w:lastRow="0" w:firstColumn="0" w:lastColumn="0" w:noHBand="0" w:noVBand="0"/>
            </w:tblPr>
            <w:tblGrid>
              <w:gridCol w:w="670"/>
            </w:tblGrid>
            <w:tr w:rsidR="00D82076" w:rsidRPr="00D82076">
              <w:trPr>
                <w:trHeight w:val="96"/>
              </w:trPr>
              <w:tc>
                <w:tcPr>
                  <w:tcW w:w="0" w:type="auto"/>
                </w:tcPr>
                <w:p w:rsidR="00D82076" w:rsidRPr="00D82076" w:rsidRDefault="00D82076" w:rsidP="00D82076">
                  <w:pPr>
                    <w:autoSpaceDE w:val="0"/>
                    <w:autoSpaceDN w:val="0"/>
                    <w:adjustRightInd w:val="0"/>
                    <w:spacing w:before="160" w:after="100" w:line="161" w:lineRule="atLeast"/>
                    <w:jc w:val="center"/>
                    <w:rPr>
                      <w:rFonts w:ascii="Myriad Pro" w:hAnsi="Myriad Pro" w:cs="Myriad Pro"/>
                      <w:color w:val="000000"/>
                      <w:sz w:val="16"/>
                      <w:szCs w:val="16"/>
                    </w:rPr>
                  </w:pPr>
                  <w:r w:rsidRPr="00D82076">
                    <w:rPr>
                      <w:rFonts w:ascii="Myriad Pro" w:hAnsi="Myriad Pro" w:cs="Myriad Pro"/>
                      <w:color w:val="000000"/>
                      <w:sz w:val="16"/>
                      <w:szCs w:val="16"/>
                    </w:rPr>
                    <w:t xml:space="preserve">MPSV </w:t>
                  </w:r>
                </w:p>
              </w:tc>
            </w:tr>
          </w:tbl>
          <w:p w:rsidR="00D82076" w:rsidRPr="00A319FE" w:rsidRDefault="00D82076" w:rsidP="00312CB6">
            <w:pPr>
              <w:jc w:val="right"/>
              <w:rPr>
                <w:rFonts w:ascii="Arial" w:hAnsi="Arial" w:cs="Arial"/>
                <w:sz w:val="18"/>
                <w:szCs w:val="18"/>
              </w:rPr>
            </w:pPr>
          </w:p>
        </w:tc>
        <w:tc>
          <w:tcPr>
            <w:tcW w:w="2672" w:type="dxa"/>
            <w:tcBorders>
              <w:top w:val="nil"/>
              <w:left w:val="nil"/>
              <w:bottom w:val="single" w:sz="4" w:space="0" w:color="auto"/>
              <w:right w:val="single" w:sz="4" w:space="0" w:color="auto"/>
            </w:tcBorders>
            <w:shd w:val="clear" w:color="auto" w:fill="auto"/>
            <w:noWrap/>
            <w:vAlign w:val="bottom"/>
          </w:tcPr>
          <w:p w:rsidR="00D82076" w:rsidRPr="00A319FE" w:rsidRDefault="00D82076" w:rsidP="00D82076">
            <w:pPr>
              <w:rPr>
                <w:rFonts w:ascii="Arial" w:hAnsi="Arial" w:cs="Arial"/>
                <w:sz w:val="18"/>
                <w:szCs w:val="18"/>
              </w:rPr>
            </w:pPr>
            <w:r>
              <w:rPr>
                <w:rFonts w:ascii="Arial" w:hAnsi="Arial" w:cs="Arial"/>
                <w:sz w:val="18"/>
                <w:szCs w:val="18"/>
              </w:rPr>
              <w:t>Aktivní politika zaměstnanosti</w:t>
            </w:r>
          </w:p>
        </w:tc>
        <w:tc>
          <w:tcPr>
            <w:tcW w:w="781" w:type="dxa"/>
            <w:tcBorders>
              <w:top w:val="nil"/>
              <w:left w:val="nil"/>
              <w:bottom w:val="single" w:sz="4" w:space="0" w:color="auto"/>
              <w:right w:val="single" w:sz="4" w:space="0" w:color="auto"/>
            </w:tcBorders>
            <w:shd w:val="clear" w:color="auto" w:fill="auto"/>
            <w:noWrap/>
            <w:vAlign w:val="bottom"/>
          </w:tcPr>
          <w:p w:rsidR="00D82076" w:rsidRPr="00A319FE" w:rsidRDefault="00D82076" w:rsidP="00312CB6">
            <w:pPr>
              <w:jc w:val="right"/>
              <w:rPr>
                <w:rFonts w:ascii="Arial" w:hAnsi="Arial" w:cs="Arial"/>
                <w:sz w:val="18"/>
                <w:szCs w:val="18"/>
              </w:rPr>
            </w:pPr>
            <w:r>
              <w:rPr>
                <w:rFonts w:ascii="Arial" w:hAnsi="Arial" w:cs="Arial"/>
                <w:sz w:val="18"/>
                <w:szCs w:val="18"/>
              </w:rPr>
              <w:t>4116</w:t>
            </w:r>
          </w:p>
        </w:tc>
        <w:tc>
          <w:tcPr>
            <w:tcW w:w="1487" w:type="dxa"/>
            <w:tcBorders>
              <w:top w:val="nil"/>
              <w:left w:val="nil"/>
              <w:bottom w:val="single" w:sz="4" w:space="0" w:color="auto"/>
              <w:right w:val="single" w:sz="4" w:space="0" w:color="auto"/>
            </w:tcBorders>
            <w:shd w:val="clear" w:color="auto" w:fill="auto"/>
            <w:noWrap/>
            <w:vAlign w:val="bottom"/>
          </w:tcPr>
          <w:p w:rsidR="00D82076" w:rsidRPr="00A319FE" w:rsidRDefault="00D82076" w:rsidP="00312CB6">
            <w:pPr>
              <w:rPr>
                <w:rFonts w:ascii="Arial" w:hAnsi="Arial" w:cs="Arial"/>
                <w:sz w:val="18"/>
                <w:szCs w:val="18"/>
              </w:rPr>
            </w:pPr>
            <w:r>
              <w:rPr>
                <w:rFonts w:ascii="Arial" w:hAnsi="Arial" w:cs="Arial"/>
                <w:sz w:val="18"/>
                <w:szCs w:val="18"/>
              </w:rPr>
              <w:t>1525</w:t>
            </w:r>
          </w:p>
        </w:tc>
        <w:tc>
          <w:tcPr>
            <w:tcW w:w="1417" w:type="dxa"/>
            <w:tcBorders>
              <w:top w:val="nil"/>
              <w:left w:val="nil"/>
              <w:bottom w:val="single" w:sz="4" w:space="0" w:color="auto"/>
              <w:right w:val="single" w:sz="4" w:space="0" w:color="auto"/>
            </w:tcBorders>
          </w:tcPr>
          <w:p w:rsidR="00D82076" w:rsidRDefault="00D82076" w:rsidP="00312CB6">
            <w:pPr>
              <w:rPr>
                <w:rFonts w:ascii="Arial" w:hAnsi="Arial" w:cs="Arial"/>
                <w:sz w:val="18"/>
                <w:szCs w:val="18"/>
              </w:rPr>
            </w:pPr>
          </w:p>
          <w:p w:rsidR="00D82076" w:rsidRPr="00A319FE" w:rsidRDefault="00D82076" w:rsidP="00312CB6">
            <w:pPr>
              <w:rPr>
                <w:rFonts w:ascii="Arial" w:hAnsi="Arial" w:cs="Arial"/>
                <w:sz w:val="18"/>
                <w:szCs w:val="18"/>
              </w:rPr>
            </w:pPr>
            <w:r>
              <w:rPr>
                <w:rFonts w:ascii="Arial" w:hAnsi="Arial" w:cs="Arial"/>
                <w:sz w:val="18"/>
                <w:szCs w:val="18"/>
              </w:rPr>
              <w:t>819</w:t>
            </w:r>
          </w:p>
        </w:tc>
        <w:tc>
          <w:tcPr>
            <w:tcW w:w="1134" w:type="dxa"/>
            <w:tcBorders>
              <w:top w:val="nil"/>
              <w:left w:val="nil"/>
              <w:bottom w:val="single" w:sz="4" w:space="0" w:color="auto"/>
              <w:right w:val="single" w:sz="4" w:space="0" w:color="auto"/>
            </w:tcBorders>
          </w:tcPr>
          <w:p w:rsidR="00D82076" w:rsidRDefault="00D82076" w:rsidP="00312CB6">
            <w:pPr>
              <w:rPr>
                <w:rFonts w:ascii="Arial" w:hAnsi="Arial" w:cs="Arial"/>
                <w:sz w:val="18"/>
                <w:szCs w:val="18"/>
              </w:rPr>
            </w:pPr>
          </w:p>
          <w:p w:rsidR="00D82076" w:rsidRPr="00A319FE" w:rsidRDefault="00D82076" w:rsidP="00312CB6">
            <w:pPr>
              <w:rPr>
                <w:rFonts w:ascii="Arial" w:hAnsi="Arial" w:cs="Arial"/>
                <w:sz w:val="18"/>
                <w:szCs w:val="18"/>
              </w:rPr>
            </w:pPr>
            <w:r>
              <w:rPr>
                <w:rFonts w:ascii="Arial" w:hAnsi="Arial" w:cs="Arial"/>
                <w:sz w:val="18"/>
                <w:szCs w:val="18"/>
              </w:rPr>
              <w:t>54</w:t>
            </w:r>
          </w:p>
        </w:tc>
      </w:tr>
      <w:tr w:rsidR="00D82076" w:rsidRPr="00A319FE" w:rsidTr="00D82076">
        <w:trPr>
          <w:trHeight w:val="225"/>
        </w:trPr>
        <w:tc>
          <w:tcPr>
            <w:tcW w:w="1161" w:type="dxa"/>
            <w:tcBorders>
              <w:top w:val="nil"/>
              <w:left w:val="single" w:sz="4" w:space="0" w:color="auto"/>
              <w:bottom w:val="single" w:sz="4" w:space="0" w:color="auto"/>
              <w:right w:val="single" w:sz="4" w:space="0" w:color="auto"/>
            </w:tcBorders>
            <w:shd w:val="clear" w:color="auto" w:fill="auto"/>
            <w:noWrap/>
            <w:vAlign w:val="bottom"/>
          </w:tcPr>
          <w:p w:rsidR="00D82076" w:rsidRPr="00D82076" w:rsidRDefault="00D82076" w:rsidP="00D82076">
            <w:pPr>
              <w:autoSpaceDE w:val="0"/>
              <w:autoSpaceDN w:val="0"/>
              <w:adjustRightInd w:val="0"/>
              <w:spacing w:after="0" w:line="240" w:lineRule="auto"/>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61"/>
            </w:tblGrid>
            <w:tr w:rsidR="00D82076" w:rsidRPr="00D82076">
              <w:trPr>
                <w:trHeight w:val="96"/>
              </w:trPr>
              <w:tc>
                <w:tcPr>
                  <w:tcW w:w="0" w:type="auto"/>
                </w:tcPr>
                <w:p w:rsidR="00D82076" w:rsidRPr="00D82076" w:rsidRDefault="0056271F" w:rsidP="00D82076">
                  <w:pPr>
                    <w:autoSpaceDE w:val="0"/>
                    <w:autoSpaceDN w:val="0"/>
                    <w:adjustRightInd w:val="0"/>
                    <w:spacing w:before="160" w:after="100" w:line="161" w:lineRule="atLeast"/>
                    <w:jc w:val="center"/>
                    <w:rPr>
                      <w:rFonts w:ascii="Myriad Pro" w:hAnsi="Myriad Pro" w:cs="Myriad Pro"/>
                      <w:color w:val="000000"/>
                      <w:sz w:val="16"/>
                      <w:szCs w:val="16"/>
                    </w:rPr>
                  </w:pPr>
                  <w:r>
                    <w:rPr>
                      <w:rFonts w:ascii="Myriad Pro" w:hAnsi="Myriad Pro" w:cs="Myriad Pro"/>
                      <w:color w:val="000000"/>
                      <w:sz w:val="16"/>
                      <w:szCs w:val="16"/>
                    </w:rPr>
                    <w:t>KÚÚ</w:t>
                  </w:r>
                  <w:r w:rsidR="00D82076" w:rsidRPr="00D82076">
                    <w:rPr>
                      <w:rFonts w:ascii="Myriad Pro" w:hAnsi="Myriad Pro" w:cs="Myriad Pro"/>
                      <w:color w:val="000000"/>
                      <w:sz w:val="16"/>
                      <w:szCs w:val="16"/>
                    </w:rPr>
                    <w:t xml:space="preserve">K </w:t>
                  </w:r>
                </w:p>
              </w:tc>
            </w:tr>
          </w:tbl>
          <w:p w:rsidR="00D82076" w:rsidRPr="00D82076" w:rsidRDefault="00D82076" w:rsidP="00D82076">
            <w:pPr>
              <w:autoSpaceDE w:val="0"/>
              <w:autoSpaceDN w:val="0"/>
              <w:adjustRightInd w:val="0"/>
              <w:spacing w:before="160" w:after="100" w:line="161" w:lineRule="atLeast"/>
              <w:jc w:val="center"/>
              <w:rPr>
                <w:rFonts w:ascii="Myriad Pro" w:hAnsi="Myriad Pro" w:cs="Myriad Pro"/>
                <w:color w:val="000000"/>
                <w:sz w:val="16"/>
                <w:szCs w:val="16"/>
              </w:rPr>
            </w:pPr>
          </w:p>
        </w:tc>
        <w:tc>
          <w:tcPr>
            <w:tcW w:w="2672" w:type="dxa"/>
            <w:tcBorders>
              <w:top w:val="nil"/>
              <w:left w:val="nil"/>
              <w:bottom w:val="single" w:sz="4" w:space="0" w:color="auto"/>
              <w:right w:val="single" w:sz="4" w:space="0" w:color="auto"/>
            </w:tcBorders>
            <w:shd w:val="clear" w:color="auto" w:fill="auto"/>
            <w:noWrap/>
            <w:vAlign w:val="bottom"/>
          </w:tcPr>
          <w:p w:rsidR="00D82076" w:rsidRPr="00D82076" w:rsidRDefault="00D82076" w:rsidP="00D82076">
            <w:pPr>
              <w:autoSpaceDE w:val="0"/>
              <w:autoSpaceDN w:val="0"/>
              <w:adjustRightInd w:val="0"/>
              <w:spacing w:after="0" w:line="240" w:lineRule="auto"/>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657"/>
            </w:tblGrid>
            <w:tr w:rsidR="00D82076" w:rsidRPr="00D82076">
              <w:trPr>
                <w:trHeight w:val="96"/>
              </w:trPr>
              <w:tc>
                <w:tcPr>
                  <w:tcW w:w="0" w:type="auto"/>
                </w:tcPr>
                <w:p w:rsidR="00D82076" w:rsidRPr="00D82076" w:rsidRDefault="00D82076" w:rsidP="00D82076">
                  <w:pPr>
                    <w:rPr>
                      <w:rFonts w:ascii="Arial" w:hAnsi="Arial" w:cs="Arial"/>
                      <w:sz w:val="18"/>
                      <w:szCs w:val="18"/>
                    </w:rPr>
                  </w:pPr>
                  <w:r w:rsidRPr="00D82076">
                    <w:rPr>
                      <w:rFonts w:ascii="Arial" w:hAnsi="Arial" w:cs="Arial"/>
                      <w:sz w:val="18"/>
                      <w:szCs w:val="18"/>
                    </w:rPr>
                    <w:t xml:space="preserve">výkon stát. správy </w:t>
                  </w:r>
                </w:p>
              </w:tc>
            </w:tr>
          </w:tbl>
          <w:p w:rsidR="00D82076" w:rsidRDefault="00D82076" w:rsidP="00D82076">
            <w:pPr>
              <w:rPr>
                <w:rFonts w:ascii="Arial" w:hAnsi="Arial" w:cs="Arial"/>
                <w:sz w:val="18"/>
                <w:szCs w:val="18"/>
              </w:rPr>
            </w:pPr>
          </w:p>
        </w:tc>
        <w:tc>
          <w:tcPr>
            <w:tcW w:w="781" w:type="dxa"/>
            <w:tcBorders>
              <w:top w:val="nil"/>
              <w:left w:val="nil"/>
              <w:bottom w:val="single" w:sz="4" w:space="0" w:color="auto"/>
              <w:right w:val="single" w:sz="4" w:space="0" w:color="auto"/>
            </w:tcBorders>
            <w:shd w:val="clear" w:color="auto" w:fill="auto"/>
            <w:noWrap/>
            <w:vAlign w:val="bottom"/>
          </w:tcPr>
          <w:p w:rsidR="00D82076" w:rsidRDefault="00D82076" w:rsidP="00312CB6">
            <w:pPr>
              <w:jc w:val="right"/>
              <w:rPr>
                <w:rFonts w:ascii="Arial" w:hAnsi="Arial" w:cs="Arial"/>
                <w:sz w:val="18"/>
                <w:szCs w:val="18"/>
              </w:rPr>
            </w:pPr>
            <w:r>
              <w:rPr>
                <w:rFonts w:ascii="Arial" w:hAnsi="Arial" w:cs="Arial"/>
                <w:sz w:val="18"/>
                <w:szCs w:val="18"/>
              </w:rPr>
              <w:t>4112</w:t>
            </w:r>
          </w:p>
        </w:tc>
        <w:tc>
          <w:tcPr>
            <w:tcW w:w="1487" w:type="dxa"/>
            <w:tcBorders>
              <w:top w:val="nil"/>
              <w:left w:val="nil"/>
              <w:bottom w:val="single" w:sz="4" w:space="0" w:color="auto"/>
              <w:right w:val="single" w:sz="4" w:space="0" w:color="auto"/>
            </w:tcBorders>
            <w:shd w:val="clear" w:color="auto" w:fill="auto"/>
            <w:noWrap/>
            <w:vAlign w:val="bottom"/>
          </w:tcPr>
          <w:p w:rsidR="00D82076" w:rsidRDefault="0056271F" w:rsidP="00312CB6">
            <w:pPr>
              <w:rPr>
                <w:rFonts w:ascii="Arial" w:hAnsi="Arial" w:cs="Arial"/>
                <w:sz w:val="18"/>
                <w:szCs w:val="18"/>
              </w:rPr>
            </w:pPr>
            <w:r>
              <w:rPr>
                <w:rFonts w:ascii="Arial" w:hAnsi="Arial" w:cs="Arial"/>
                <w:sz w:val="18"/>
                <w:szCs w:val="18"/>
              </w:rPr>
              <w:t>359</w:t>
            </w:r>
          </w:p>
        </w:tc>
        <w:tc>
          <w:tcPr>
            <w:tcW w:w="1417" w:type="dxa"/>
            <w:tcBorders>
              <w:top w:val="nil"/>
              <w:left w:val="nil"/>
              <w:bottom w:val="single" w:sz="4" w:space="0" w:color="auto"/>
              <w:right w:val="single" w:sz="4" w:space="0" w:color="auto"/>
            </w:tcBorders>
          </w:tcPr>
          <w:p w:rsidR="0056271F" w:rsidRDefault="0056271F" w:rsidP="00312CB6">
            <w:pPr>
              <w:rPr>
                <w:rFonts w:ascii="Arial" w:hAnsi="Arial" w:cs="Arial"/>
                <w:sz w:val="18"/>
                <w:szCs w:val="18"/>
              </w:rPr>
            </w:pPr>
          </w:p>
          <w:p w:rsidR="00D82076" w:rsidRDefault="0056271F" w:rsidP="00312CB6">
            <w:pPr>
              <w:rPr>
                <w:rFonts w:ascii="Arial" w:hAnsi="Arial" w:cs="Arial"/>
                <w:sz w:val="18"/>
                <w:szCs w:val="18"/>
              </w:rPr>
            </w:pPr>
            <w:r>
              <w:rPr>
                <w:rFonts w:ascii="Arial" w:hAnsi="Arial" w:cs="Arial"/>
                <w:sz w:val="18"/>
                <w:szCs w:val="18"/>
              </w:rPr>
              <w:t>359</w:t>
            </w:r>
          </w:p>
        </w:tc>
        <w:tc>
          <w:tcPr>
            <w:tcW w:w="1134" w:type="dxa"/>
            <w:tcBorders>
              <w:top w:val="nil"/>
              <w:left w:val="nil"/>
              <w:bottom w:val="single" w:sz="4" w:space="0" w:color="auto"/>
              <w:right w:val="single" w:sz="4" w:space="0" w:color="auto"/>
            </w:tcBorders>
          </w:tcPr>
          <w:p w:rsidR="0056271F" w:rsidRDefault="0056271F" w:rsidP="00312CB6">
            <w:pPr>
              <w:rPr>
                <w:rFonts w:ascii="Arial" w:hAnsi="Arial" w:cs="Arial"/>
                <w:sz w:val="18"/>
                <w:szCs w:val="18"/>
              </w:rPr>
            </w:pPr>
          </w:p>
          <w:p w:rsidR="00D82076" w:rsidRDefault="0056271F" w:rsidP="00312CB6">
            <w:pPr>
              <w:rPr>
                <w:rFonts w:ascii="Arial" w:hAnsi="Arial" w:cs="Arial"/>
                <w:sz w:val="18"/>
                <w:szCs w:val="18"/>
              </w:rPr>
            </w:pPr>
            <w:r>
              <w:rPr>
                <w:rFonts w:ascii="Arial" w:hAnsi="Arial" w:cs="Arial"/>
                <w:sz w:val="18"/>
                <w:szCs w:val="18"/>
              </w:rPr>
              <w:t>100</w:t>
            </w:r>
          </w:p>
        </w:tc>
      </w:tr>
      <w:tr w:rsidR="0056271F" w:rsidRPr="00A319FE" w:rsidTr="00D82076">
        <w:trPr>
          <w:trHeight w:val="225"/>
        </w:trPr>
        <w:tc>
          <w:tcPr>
            <w:tcW w:w="1161" w:type="dxa"/>
            <w:tcBorders>
              <w:top w:val="nil"/>
              <w:left w:val="single" w:sz="4" w:space="0" w:color="auto"/>
              <w:bottom w:val="single" w:sz="4" w:space="0" w:color="auto"/>
              <w:right w:val="single" w:sz="4" w:space="0" w:color="auto"/>
            </w:tcBorders>
            <w:shd w:val="clear" w:color="auto" w:fill="auto"/>
            <w:noWrap/>
            <w:vAlign w:val="bottom"/>
          </w:tcPr>
          <w:p w:rsidR="0056271F" w:rsidRPr="0056271F" w:rsidRDefault="0056271F" w:rsidP="0056271F">
            <w:pPr>
              <w:autoSpaceDE w:val="0"/>
              <w:autoSpaceDN w:val="0"/>
              <w:adjustRightInd w:val="0"/>
              <w:spacing w:after="0" w:line="240" w:lineRule="auto"/>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56"/>
            </w:tblGrid>
            <w:tr w:rsidR="0056271F" w:rsidRPr="0056271F">
              <w:trPr>
                <w:trHeight w:val="96"/>
              </w:trPr>
              <w:tc>
                <w:tcPr>
                  <w:tcW w:w="0" w:type="auto"/>
                </w:tcPr>
                <w:p w:rsidR="0056271F" w:rsidRPr="0056271F" w:rsidRDefault="0056271F" w:rsidP="0056271F">
                  <w:pPr>
                    <w:autoSpaceDE w:val="0"/>
                    <w:autoSpaceDN w:val="0"/>
                    <w:adjustRightInd w:val="0"/>
                    <w:spacing w:before="160" w:after="100" w:line="161" w:lineRule="atLeast"/>
                    <w:jc w:val="center"/>
                    <w:rPr>
                      <w:rFonts w:ascii="Myriad Pro" w:hAnsi="Myriad Pro" w:cs="Myriad Pro"/>
                      <w:color w:val="000000"/>
                      <w:sz w:val="16"/>
                      <w:szCs w:val="16"/>
                    </w:rPr>
                  </w:pPr>
                  <w:r>
                    <w:rPr>
                      <w:rFonts w:ascii="Myriad Pro" w:hAnsi="Myriad Pro" w:cs="Myriad Pro"/>
                      <w:color w:val="000000"/>
                      <w:sz w:val="16"/>
                      <w:szCs w:val="16"/>
                    </w:rPr>
                    <w:t>OÚ</w:t>
                  </w:r>
                  <w:r w:rsidRPr="0056271F">
                    <w:rPr>
                      <w:rFonts w:ascii="Myriad Pro" w:hAnsi="Myriad Pro" w:cs="Myriad Pro"/>
                      <w:color w:val="000000"/>
                      <w:sz w:val="16"/>
                      <w:szCs w:val="16"/>
                    </w:rPr>
                    <w:t xml:space="preserve"> </w:t>
                  </w:r>
                </w:p>
              </w:tc>
            </w:tr>
          </w:tbl>
          <w:p w:rsidR="0056271F" w:rsidRPr="0056271F" w:rsidRDefault="0056271F" w:rsidP="0056271F">
            <w:pPr>
              <w:autoSpaceDE w:val="0"/>
              <w:autoSpaceDN w:val="0"/>
              <w:adjustRightInd w:val="0"/>
              <w:spacing w:after="0" w:line="240" w:lineRule="auto"/>
              <w:rPr>
                <w:rFonts w:ascii="Myriad Pro" w:hAnsi="Myriad Pro" w:cs="Myriad Pro"/>
                <w:color w:val="000000"/>
                <w:sz w:val="24"/>
                <w:szCs w:val="24"/>
              </w:rPr>
            </w:pPr>
          </w:p>
        </w:tc>
        <w:tc>
          <w:tcPr>
            <w:tcW w:w="2672" w:type="dxa"/>
            <w:tcBorders>
              <w:top w:val="nil"/>
              <w:left w:val="nil"/>
              <w:bottom w:val="single" w:sz="4" w:space="0" w:color="auto"/>
              <w:right w:val="single" w:sz="4" w:space="0" w:color="auto"/>
            </w:tcBorders>
            <w:shd w:val="clear" w:color="auto" w:fill="auto"/>
            <w:noWrap/>
            <w:vAlign w:val="bottom"/>
          </w:tcPr>
          <w:p w:rsidR="0056271F" w:rsidRPr="0056271F" w:rsidRDefault="0056271F" w:rsidP="0056271F">
            <w:pPr>
              <w:autoSpaceDE w:val="0"/>
              <w:autoSpaceDN w:val="0"/>
              <w:adjustRightInd w:val="0"/>
              <w:spacing w:after="0" w:line="240" w:lineRule="auto"/>
              <w:rPr>
                <w:rFonts w:ascii="Myriad Pro" w:hAnsi="Myriad Pro" w:cs="Myriad Pro"/>
                <w:color w:val="000000"/>
                <w:sz w:val="24"/>
                <w:szCs w:val="24"/>
              </w:rPr>
            </w:pPr>
            <w:r w:rsidRPr="0056271F">
              <w:rPr>
                <w:rFonts w:ascii="Arial" w:hAnsi="Arial" w:cs="Arial"/>
                <w:sz w:val="18"/>
                <w:szCs w:val="18"/>
              </w:rPr>
              <w:t>ne</w:t>
            </w:r>
            <w:r>
              <w:rPr>
                <w:rFonts w:ascii="Arial" w:hAnsi="Arial" w:cs="Arial"/>
                <w:sz w:val="18"/>
                <w:szCs w:val="18"/>
              </w:rPr>
              <w:t>investiční dotace od obcí</w:t>
            </w:r>
          </w:p>
        </w:tc>
        <w:tc>
          <w:tcPr>
            <w:tcW w:w="781" w:type="dxa"/>
            <w:tcBorders>
              <w:top w:val="nil"/>
              <w:left w:val="nil"/>
              <w:bottom w:val="single" w:sz="4" w:space="0" w:color="auto"/>
              <w:right w:val="single" w:sz="4" w:space="0" w:color="auto"/>
            </w:tcBorders>
            <w:shd w:val="clear" w:color="auto" w:fill="auto"/>
            <w:noWrap/>
            <w:vAlign w:val="bottom"/>
          </w:tcPr>
          <w:p w:rsidR="0056271F" w:rsidRDefault="0056271F" w:rsidP="00312CB6">
            <w:pPr>
              <w:jc w:val="right"/>
              <w:rPr>
                <w:rFonts w:ascii="Arial" w:hAnsi="Arial" w:cs="Arial"/>
                <w:sz w:val="18"/>
                <w:szCs w:val="18"/>
              </w:rPr>
            </w:pPr>
            <w:r>
              <w:rPr>
                <w:rFonts w:ascii="Arial" w:hAnsi="Arial" w:cs="Arial"/>
                <w:sz w:val="18"/>
                <w:szCs w:val="18"/>
              </w:rPr>
              <w:t>4121</w:t>
            </w:r>
          </w:p>
        </w:tc>
        <w:tc>
          <w:tcPr>
            <w:tcW w:w="1487" w:type="dxa"/>
            <w:tcBorders>
              <w:top w:val="nil"/>
              <w:left w:val="nil"/>
              <w:bottom w:val="single" w:sz="4" w:space="0" w:color="auto"/>
              <w:right w:val="single" w:sz="4" w:space="0" w:color="auto"/>
            </w:tcBorders>
            <w:shd w:val="clear" w:color="auto" w:fill="auto"/>
            <w:noWrap/>
            <w:vAlign w:val="bottom"/>
          </w:tcPr>
          <w:p w:rsidR="0056271F" w:rsidRDefault="0056271F" w:rsidP="00312CB6">
            <w:pPr>
              <w:rPr>
                <w:rFonts w:ascii="Arial" w:hAnsi="Arial" w:cs="Arial"/>
                <w:sz w:val="18"/>
                <w:szCs w:val="18"/>
              </w:rPr>
            </w:pPr>
            <w:r>
              <w:rPr>
                <w:rFonts w:ascii="Arial" w:hAnsi="Arial" w:cs="Arial"/>
                <w:sz w:val="18"/>
                <w:szCs w:val="18"/>
              </w:rPr>
              <w:t>392</w:t>
            </w:r>
          </w:p>
        </w:tc>
        <w:tc>
          <w:tcPr>
            <w:tcW w:w="1417" w:type="dxa"/>
            <w:tcBorders>
              <w:top w:val="nil"/>
              <w:left w:val="nil"/>
              <w:bottom w:val="single" w:sz="4" w:space="0" w:color="auto"/>
              <w:right w:val="single" w:sz="4" w:space="0" w:color="auto"/>
            </w:tcBorders>
          </w:tcPr>
          <w:p w:rsidR="0056271F" w:rsidRDefault="0056271F" w:rsidP="00312CB6">
            <w:pPr>
              <w:rPr>
                <w:rFonts w:ascii="Arial" w:hAnsi="Arial" w:cs="Arial"/>
                <w:sz w:val="18"/>
                <w:szCs w:val="18"/>
              </w:rPr>
            </w:pPr>
          </w:p>
          <w:p w:rsidR="0056271F" w:rsidRDefault="0056271F" w:rsidP="00312CB6">
            <w:pPr>
              <w:rPr>
                <w:rFonts w:ascii="Arial" w:hAnsi="Arial" w:cs="Arial"/>
                <w:sz w:val="18"/>
                <w:szCs w:val="18"/>
              </w:rPr>
            </w:pPr>
            <w:r>
              <w:rPr>
                <w:rFonts w:ascii="Arial" w:hAnsi="Arial" w:cs="Arial"/>
                <w:sz w:val="18"/>
                <w:szCs w:val="18"/>
              </w:rPr>
              <w:t>304</w:t>
            </w:r>
          </w:p>
        </w:tc>
        <w:tc>
          <w:tcPr>
            <w:tcW w:w="1134" w:type="dxa"/>
            <w:tcBorders>
              <w:top w:val="nil"/>
              <w:left w:val="nil"/>
              <w:bottom w:val="single" w:sz="4" w:space="0" w:color="auto"/>
              <w:right w:val="single" w:sz="4" w:space="0" w:color="auto"/>
            </w:tcBorders>
          </w:tcPr>
          <w:p w:rsidR="0056271F" w:rsidRDefault="0056271F" w:rsidP="00312CB6">
            <w:pPr>
              <w:rPr>
                <w:rFonts w:ascii="Arial" w:hAnsi="Arial" w:cs="Arial"/>
                <w:sz w:val="18"/>
                <w:szCs w:val="18"/>
              </w:rPr>
            </w:pPr>
          </w:p>
          <w:p w:rsidR="0056271F" w:rsidRDefault="0056271F" w:rsidP="00312CB6">
            <w:pPr>
              <w:rPr>
                <w:rFonts w:ascii="Arial" w:hAnsi="Arial" w:cs="Arial"/>
                <w:sz w:val="18"/>
                <w:szCs w:val="18"/>
              </w:rPr>
            </w:pPr>
            <w:r>
              <w:rPr>
                <w:rFonts w:ascii="Arial" w:hAnsi="Arial" w:cs="Arial"/>
                <w:sz w:val="18"/>
                <w:szCs w:val="18"/>
              </w:rPr>
              <w:t>77</w:t>
            </w:r>
          </w:p>
        </w:tc>
      </w:tr>
      <w:tr w:rsidR="00D82076" w:rsidRPr="00A319FE" w:rsidTr="00D82076">
        <w:trPr>
          <w:trHeight w:val="225"/>
        </w:trPr>
        <w:tc>
          <w:tcPr>
            <w:tcW w:w="1161" w:type="dxa"/>
            <w:tcBorders>
              <w:top w:val="nil"/>
              <w:left w:val="single" w:sz="4" w:space="0" w:color="auto"/>
              <w:bottom w:val="single" w:sz="4" w:space="0" w:color="auto"/>
              <w:right w:val="single" w:sz="4" w:space="0" w:color="auto"/>
            </w:tcBorders>
            <w:shd w:val="clear" w:color="auto" w:fill="auto"/>
            <w:noWrap/>
            <w:vAlign w:val="bottom"/>
          </w:tcPr>
          <w:p w:rsidR="0056271F" w:rsidRPr="0056271F" w:rsidRDefault="0056271F" w:rsidP="0056271F">
            <w:pPr>
              <w:autoSpaceDE w:val="0"/>
              <w:autoSpaceDN w:val="0"/>
              <w:adjustRightInd w:val="0"/>
              <w:spacing w:after="0" w:line="240" w:lineRule="auto"/>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661"/>
            </w:tblGrid>
            <w:tr w:rsidR="0056271F" w:rsidRPr="0056271F">
              <w:trPr>
                <w:trHeight w:val="96"/>
              </w:trPr>
              <w:tc>
                <w:tcPr>
                  <w:tcW w:w="0" w:type="auto"/>
                </w:tcPr>
                <w:p w:rsidR="0056271F" w:rsidRPr="0056271F" w:rsidRDefault="0056271F" w:rsidP="0056271F">
                  <w:pPr>
                    <w:autoSpaceDE w:val="0"/>
                    <w:autoSpaceDN w:val="0"/>
                    <w:adjustRightInd w:val="0"/>
                    <w:spacing w:before="160" w:after="100" w:line="161" w:lineRule="atLeast"/>
                    <w:jc w:val="center"/>
                    <w:rPr>
                      <w:rFonts w:ascii="Myriad Pro" w:hAnsi="Myriad Pro" w:cs="Myriad Pro"/>
                      <w:color w:val="000000"/>
                      <w:sz w:val="16"/>
                      <w:szCs w:val="16"/>
                    </w:rPr>
                  </w:pPr>
                  <w:r>
                    <w:rPr>
                      <w:rFonts w:ascii="Myriad Pro" w:hAnsi="Myriad Pro" w:cs="Myriad Pro"/>
                      <w:color w:val="000000"/>
                      <w:sz w:val="16"/>
                      <w:szCs w:val="16"/>
                    </w:rPr>
                    <w:t>KÚÚ</w:t>
                  </w:r>
                  <w:r w:rsidRPr="0056271F">
                    <w:rPr>
                      <w:rFonts w:ascii="Myriad Pro" w:hAnsi="Myriad Pro" w:cs="Myriad Pro"/>
                      <w:color w:val="000000"/>
                      <w:sz w:val="16"/>
                      <w:szCs w:val="16"/>
                    </w:rPr>
                    <w:t xml:space="preserve">K </w:t>
                  </w:r>
                </w:p>
              </w:tc>
            </w:tr>
          </w:tbl>
          <w:p w:rsidR="00D82076" w:rsidRPr="00D82076" w:rsidRDefault="00D82076" w:rsidP="00D82076">
            <w:pPr>
              <w:autoSpaceDE w:val="0"/>
              <w:autoSpaceDN w:val="0"/>
              <w:adjustRightInd w:val="0"/>
              <w:spacing w:before="160" w:after="100" w:line="161" w:lineRule="atLeast"/>
              <w:jc w:val="center"/>
              <w:rPr>
                <w:rFonts w:ascii="Myriad Pro" w:hAnsi="Myriad Pro" w:cs="Myriad Pro"/>
                <w:color w:val="000000"/>
                <w:sz w:val="16"/>
                <w:szCs w:val="16"/>
              </w:rPr>
            </w:pPr>
          </w:p>
        </w:tc>
        <w:tc>
          <w:tcPr>
            <w:tcW w:w="2672" w:type="dxa"/>
            <w:tcBorders>
              <w:top w:val="nil"/>
              <w:left w:val="nil"/>
              <w:bottom w:val="single" w:sz="4" w:space="0" w:color="auto"/>
              <w:right w:val="single" w:sz="4" w:space="0" w:color="auto"/>
            </w:tcBorders>
            <w:shd w:val="clear" w:color="auto" w:fill="auto"/>
            <w:noWrap/>
            <w:vAlign w:val="bottom"/>
          </w:tcPr>
          <w:p w:rsidR="0056271F" w:rsidRPr="0056271F" w:rsidRDefault="0056271F" w:rsidP="0056271F">
            <w:pPr>
              <w:autoSpaceDE w:val="0"/>
              <w:autoSpaceDN w:val="0"/>
              <w:adjustRightInd w:val="0"/>
              <w:spacing w:after="0" w:line="240" w:lineRule="auto"/>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448"/>
            </w:tblGrid>
            <w:tr w:rsidR="0056271F" w:rsidRPr="0056271F">
              <w:trPr>
                <w:trHeight w:val="96"/>
              </w:trPr>
              <w:tc>
                <w:tcPr>
                  <w:tcW w:w="0" w:type="auto"/>
                </w:tcPr>
                <w:p w:rsidR="0056271F" w:rsidRPr="0056271F" w:rsidRDefault="0056271F" w:rsidP="0056271F">
                  <w:pPr>
                    <w:autoSpaceDE w:val="0"/>
                    <w:autoSpaceDN w:val="0"/>
                    <w:adjustRightInd w:val="0"/>
                    <w:spacing w:before="160" w:after="100" w:line="161" w:lineRule="atLeast"/>
                    <w:rPr>
                      <w:rFonts w:ascii="Arial" w:hAnsi="Arial" w:cs="Arial"/>
                      <w:sz w:val="18"/>
                      <w:szCs w:val="18"/>
                    </w:rPr>
                  </w:pPr>
                  <w:r w:rsidRPr="0056271F">
                    <w:rPr>
                      <w:rFonts w:ascii="Arial" w:hAnsi="Arial" w:cs="Arial"/>
                      <w:sz w:val="18"/>
                      <w:szCs w:val="18"/>
                    </w:rPr>
                    <w:t xml:space="preserve">neinvestiční dotace od krajů </w:t>
                  </w:r>
                </w:p>
              </w:tc>
            </w:tr>
          </w:tbl>
          <w:p w:rsidR="00D82076" w:rsidRDefault="00D82076" w:rsidP="00D82076">
            <w:pPr>
              <w:rPr>
                <w:rFonts w:ascii="Arial" w:hAnsi="Arial" w:cs="Arial"/>
                <w:sz w:val="18"/>
                <w:szCs w:val="18"/>
              </w:rPr>
            </w:pPr>
          </w:p>
        </w:tc>
        <w:tc>
          <w:tcPr>
            <w:tcW w:w="781" w:type="dxa"/>
            <w:tcBorders>
              <w:top w:val="nil"/>
              <w:left w:val="nil"/>
              <w:bottom w:val="single" w:sz="4" w:space="0" w:color="auto"/>
              <w:right w:val="single" w:sz="4" w:space="0" w:color="auto"/>
            </w:tcBorders>
            <w:shd w:val="clear" w:color="auto" w:fill="auto"/>
            <w:noWrap/>
            <w:vAlign w:val="bottom"/>
          </w:tcPr>
          <w:p w:rsidR="00D82076" w:rsidRDefault="0056271F" w:rsidP="00312CB6">
            <w:pPr>
              <w:jc w:val="right"/>
              <w:rPr>
                <w:rFonts w:ascii="Arial" w:hAnsi="Arial" w:cs="Arial"/>
                <w:sz w:val="18"/>
                <w:szCs w:val="18"/>
              </w:rPr>
            </w:pPr>
            <w:r>
              <w:rPr>
                <w:rFonts w:ascii="Arial" w:hAnsi="Arial" w:cs="Arial"/>
                <w:sz w:val="18"/>
                <w:szCs w:val="18"/>
              </w:rPr>
              <w:t>4122</w:t>
            </w:r>
          </w:p>
        </w:tc>
        <w:tc>
          <w:tcPr>
            <w:tcW w:w="1487" w:type="dxa"/>
            <w:tcBorders>
              <w:top w:val="nil"/>
              <w:left w:val="nil"/>
              <w:bottom w:val="single" w:sz="4" w:space="0" w:color="auto"/>
              <w:right w:val="single" w:sz="4" w:space="0" w:color="auto"/>
            </w:tcBorders>
            <w:shd w:val="clear" w:color="auto" w:fill="auto"/>
            <w:noWrap/>
            <w:vAlign w:val="bottom"/>
          </w:tcPr>
          <w:p w:rsidR="00D82076" w:rsidRDefault="0056271F" w:rsidP="00312CB6">
            <w:pPr>
              <w:rPr>
                <w:rFonts w:ascii="Arial" w:hAnsi="Arial" w:cs="Arial"/>
                <w:sz w:val="18"/>
                <w:szCs w:val="18"/>
              </w:rPr>
            </w:pPr>
            <w:r>
              <w:rPr>
                <w:rFonts w:ascii="Arial" w:hAnsi="Arial" w:cs="Arial"/>
                <w:sz w:val="18"/>
                <w:szCs w:val="18"/>
              </w:rPr>
              <w:t>50</w:t>
            </w:r>
          </w:p>
        </w:tc>
        <w:tc>
          <w:tcPr>
            <w:tcW w:w="1417" w:type="dxa"/>
            <w:tcBorders>
              <w:top w:val="nil"/>
              <w:left w:val="nil"/>
              <w:bottom w:val="single" w:sz="4" w:space="0" w:color="auto"/>
              <w:right w:val="single" w:sz="4" w:space="0" w:color="auto"/>
            </w:tcBorders>
          </w:tcPr>
          <w:p w:rsidR="00D82076" w:rsidRDefault="00D82076" w:rsidP="00312CB6">
            <w:pPr>
              <w:rPr>
                <w:rFonts w:ascii="Arial" w:hAnsi="Arial" w:cs="Arial"/>
                <w:sz w:val="18"/>
                <w:szCs w:val="18"/>
              </w:rPr>
            </w:pPr>
          </w:p>
          <w:p w:rsidR="0056271F" w:rsidRDefault="0056271F" w:rsidP="00312CB6">
            <w:pPr>
              <w:rPr>
                <w:rFonts w:ascii="Arial" w:hAnsi="Arial" w:cs="Arial"/>
                <w:sz w:val="18"/>
                <w:szCs w:val="18"/>
              </w:rPr>
            </w:pPr>
            <w:r>
              <w:rPr>
                <w:rFonts w:ascii="Arial" w:hAnsi="Arial" w:cs="Arial"/>
                <w:sz w:val="18"/>
                <w:szCs w:val="18"/>
              </w:rPr>
              <w:t>50</w:t>
            </w:r>
          </w:p>
        </w:tc>
        <w:tc>
          <w:tcPr>
            <w:tcW w:w="1134" w:type="dxa"/>
            <w:tcBorders>
              <w:top w:val="nil"/>
              <w:left w:val="nil"/>
              <w:bottom w:val="single" w:sz="4" w:space="0" w:color="auto"/>
              <w:right w:val="single" w:sz="4" w:space="0" w:color="auto"/>
            </w:tcBorders>
          </w:tcPr>
          <w:p w:rsidR="00D82076" w:rsidRDefault="00D82076" w:rsidP="00312CB6">
            <w:pPr>
              <w:rPr>
                <w:rFonts w:ascii="Arial" w:hAnsi="Arial" w:cs="Arial"/>
                <w:sz w:val="18"/>
                <w:szCs w:val="18"/>
              </w:rPr>
            </w:pPr>
          </w:p>
          <w:p w:rsidR="0056271F" w:rsidRDefault="0056271F" w:rsidP="00312CB6">
            <w:pPr>
              <w:rPr>
                <w:rFonts w:ascii="Arial" w:hAnsi="Arial" w:cs="Arial"/>
                <w:sz w:val="18"/>
                <w:szCs w:val="18"/>
              </w:rPr>
            </w:pPr>
            <w:r>
              <w:rPr>
                <w:rFonts w:ascii="Arial" w:hAnsi="Arial" w:cs="Arial"/>
                <w:sz w:val="18"/>
                <w:szCs w:val="18"/>
              </w:rPr>
              <w:t>100</w:t>
            </w:r>
          </w:p>
        </w:tc>
      </w:tr>
      <w:tr w:rsidR="00D82076" w:rsidRPr="00A319FE" w:rsidTr="00D82076">
        <w:trPr>
          <w:trHeight w:val="225"/>
        </w:trPr>
        <w:tc>
          <w:tcPr>
            <w:tcW w:w="1161" w:type="dxa"/>
            <w:tcBorders>
              <w:top w:val="nil"/>
              <w:left w:val="single" w:sz="4" w:space="0" w:color="auto"/>
              <w:bottom w:val="single" w:sz="4" w:space="0" w:color="auto"/>
              <w:right w:val="single" w:sz="4" w:space="0" w:color="auto"/>
            </w:tcBorders>
            <w:shd w:val="clear" w:color="auto" w:fill="auto"/>
            <w:noWrap/>
            <w:vAlign w:val="bottom"/>
          </w:tcPr>
          <w:tbl>
            <w:tblPr>
              <w:tblW w:w="0" w:type="auto"/>
              <w:tblBorders>
                <w:top w:val="nil"/>
                <w:left w:val="nil"/>
                <w:bottom w:val="nil"/>
                <w:right w:val="nil"/>
              </w:tblBorders>
              <w:tblLook w:val="0000" w:firstRow="0" w:lastRow="0" w:firstColumn="0" w:lastColumn="0" w:noHBand="0" w:noVBand="0"/>
            </w:tblPr>
            <w:tblGrid>
              <w:gridCol w:w="634"/>
            </w:tblGrid>
            <w:tr w:rsidR="00D82076" w:rsidRPr="00D82076">
              <w:trPr>
                <w:trHeight w:val="96"/>
              </w:trPr>
              <w:tc>
                <w:tcPr>
                  <w:tcW w:w="0" w:type="auto"/>
                </w:tcPr>
                <w:p w:rsidR="00D82076" w:rsidRPr="00D82076" w:rsidRDefault="00D82076" w:rsidP="00D82076">
                  <w:pPr>
                    <w:autoSpaceDE w:val="0"/>
                    <w:autoSpaceDN w:val="0"/>
                    <w:adjustRightInd w:val="0"/>
                    <w:spacing w:before="160" w:after="100" w:line="161" w:lineRule="atLeast"/>
                    <w:jc w:val="center"/>
                    <w:rPr>
                      <w:rFonts w:ascii="Myriad Pro" w:hAnsi="Myriad Pro" w:cs="Myriad Pro"/>
                      <w:color w:val="000000"/>
                      <w:sz w:val="16"/>
                      <w:szCs w:val="16"/>
                    </w:rPr>
                  </w:pPr>
                  <w:r w:rsidRPr="00D82076">
                    <w:rPr>
                      <w:rFonts w:ascii="Myriad Pro" w:hAnsi="Myriad Pro" w:cs="Myriad Pro"/>
                      <w:color w:val="000000"/>
                      <w:sz w:val="16"/>
                      <w:szCs w:val="16"/>
                    </w:rPr>
                    <w:t xml:space="preserve">KÚLK </w:t>
                  </w:r>
                </w:p>
              </w:tc>
            </w:tr>
          </w:tbl>
          <w:p w:rsidR="00D82076" w:rsidRPr="00A319FE" w:rsidRDefault="00D82076" w:rsidP="00312CB6">
            <w:pPr>
              <w:jc w:val="right"/>
              <w:rPr>
                <w:rFonts w:ascii="Arial" w:hAnsi="Arial" w:cs="Arial"/>
                <w:sz w:val="18"/>
                <w:szCs w:val="18"/>
              </w:rPr>
            </w:pPr>
          </w:p>
        </w:tc>
        <w:tc>
          <w:tcPr>
            <w:tcW w:w="2672" w:type="dxa"/>
            <w:tcBorders>
              <w:top w:val="nil"/>
              <w:left w:val="nil"/>
              <w:bottom w:val="single" w:sz="4" w:space="0" w:color="auto"/>
              <w:right w:val="single" w:sz="4" w:space="0" w:color="auto"/>
            </w:tcBorders>
            <w:shd w:val="clear" w:color="auto" w:fill="auto"/>
            <w:noWrap/>
            <w:vAlign w:val="bottom"/>
          </w:tcPr>
          <w:p w:rsidR="00D82076" w:rsidRPr="00D82076" w:rsidRDefault="00D82076" w:rsidP="00D82076">
            <w:pPr>
              <w:autoSpaceDE w:val="0"/>
              <w:autoSpaceDN w:val="0"/>
              <w:adjustRightInd w:val="0"/>
              <w:spacing w:after="0" w:line="240" w:lineRule="auto"/>
              <w:rPr>
                <w:rFonts w:ascii="Myriad Pro" w:hAnsi="Myriad Pro" w:cs="Myriad Pro"/>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327"/>
            </w:tblGrid>
            <w:tr w:rsidR="00D82076" w:rsidRPr="00D82076">
              <w:trPr>
                <w:trHeight w:val="96"/>
              </w:trPr>
              <w:tc>
                <w:tcPr>
                  <w:tcW w:w="0" w:type="auto"/>
                </w:tcPr>
                <w:p w:rsidR="00D82076" w:rsidRPr="00D82076" w:rsidRDefault="00D82076" w:rsidP="00D82076">
                  <w:pPr>
                    <w:autoSpaceDE w:val="0"/>
                    <w:autoSpaceDN w:val="0"/>
                    <w:adjustRightInd w:val="0"/>
                    <w:spacing w:after="0" w:line="240" w:lineRule="auto"/>
                    <w:rPr>
                      <w:rFonts w:ascii="Myriad Pro" w:hAnsi="Myriad Pro" w:cs="Myriad Pro"/>
                      <w:color w:val="000000"/>
                      <w:sz w:val="24"/>
                      <w:szCs w:val="24"/>
                    </w:rPr>
                  </w:pPr>
                  <w:r w:rsidRPr="00D82076">
                    <w:rPr>
                      <w:rFonts w:ascii="Arial" w:hAnsi="Arial" w:cs="Arial"/>
                      <w:sz w:val="18"/>
                      <w:szCs w:val="18"/>
                    </w:rPr>
                    <w:t>volby do kraje</w:t>
                  </w:r>
                  <w:r w:rsidRPr="00D82076">
                    <w:rPr>
                      <w:rFonts w:ascii="Myriad Pro" w:hAnsi="Myriad Pro" w:cs="Myriad Pro"/>
                      <w:color w:val="000000"/>
                      <w:sz w:val="24"/>
                      <w:szCs w:val="24"/>
                    </w:rPr>
                    <w:t xml:space="preserve"> </w:t>
                  </w:r>
                </w:p>
              </w:tc>
            </w:tr>
            <w:tr w:rsidR="00D82076" w:rsidRPr="00D82076">
              <w:trPr>
                <w:trHeight w:val="96"/>
              </w:trPr>
              <w:tc>
                <w:tcPr>
                  <w:tcW w:w="0" w:type="auto"/>
                </w:tcPr>
                <w:p w:rsidR="00D82076" w:rsidRDefault="00D82076" w:rsidP="00D82076">
                  <w:pPr>
                    <w:autoSpaceDE w:val="0"/>
                    <w:autoSpaceDN w:val="0"/>
                    <w:adjustRightInd w:val="0"/>
                    <w:spacing w:before="160" w:after="100" w:line="161" w:lineRule="atLeast"/>
                    <w:rPr>
                      <w:rFonts w:ascii="Myriad Pro" w:hAnsi="Myriad Pro" w:cs="Myriad Pro"/>
                      <w:color w:val="000000"/>
                      <w:sz w:val="16"/>
                      <w:szCs w:val="16"/>
                    </w:rPr>
                  </w:pPr>
                </w:p>
              </w:tc>
            </w:tr>
          </w:tbl>
          <w:p w:rsidR="00D82076" w:rsidRPr="00A319FE" w:rsidRDefault="00D82076" w:rsidP="00312CB6">
            <w:pPr>
              <w:jc w:val="right"/>
              <w:rPr>
                <w:rFonts w:ascii="Arial" w:hAnsi="Arial" w:cs="Arial"/>
                <w:sz w:val="18"/>
                <w:szCs w:val="18"/>
              </w:rPr>
            </w:pPr>
          </w:p>
        </w:tc>
        <w:tc>
          <w:tcPr>
            <w:tcW w:w="781" w:type="dxa"/>
            <w:tcBorders>
              <w:top w:val="nil"/>
              <w:left w:val="nil"/>
              <w:bottom w:val="single" w:sz="4" w:space="0" w:color="auto"/>
              <w:right w:val="single" w:sz="4" w:space="0" w:color="auto"/>
            </w:tcBorders>
            <w:shd w:val="clear" w:color="auto" w:fill="auto"/>
            <w:noWrap/>
            <w:vAlign w:val="bottom"/>
          </w:tcPr>
          <w:p w:rsidR="00D82076" w:rsidRPr="00A319FE" w:rsidRDefault="00D82076" w:rsidP="00312CB6">
            <w:pPr>
              <w:rPr>
                <w:rFonts w:ascii="Arial" w:hAnsi="Arial" w:cs="Arial"/>
                <w:sz w:val="18"/>
                <w:szCs w:val="18"/>
              </w:rPr>
            </w:pPr>
            <w:r>
              <w:rPr>
                <w:rFonts w:ascii="Arial" w:hAnsi="Arial" w:cs="Arial"/>
                <w:sz w:val="18"/>
                <w:szCs w:val="18"/>
              </w:rPr>
              <w:t>4111</w:t>
            </w:r>
          </w:p>
        </w:tc>
        <w:tc>
          <w:tcPr>
            <w:tcW w:w="1487" w:type="dxa"/>
            <w:tcBorders>
              <w:top w:val="nil"/>
              <w:left w:val="nil"/>
              <w:bottom w:val="single" w:sz="4" w:space="0" w:color="auto"/>
              <w:right w:val="single" w:sz="4" w:space="0" w:color="auto"/>
            </w:tcBorders>
            <w:shd w:val="clear" w:color="auto" w:fill="auto"/>
            <w:noWrap/>
            <w:vAlign w:val="bottom"/>
          </w:tcPr>
          <w:p w:rsidR="00D82076" w:rsidRPr="00A319FE" w:rsidRDefault="00D82076" w:rsidP="00312CB6">
            <w:pPr>
              <w:rPr>
                <w:rFonts w:ascii="Arial" w:hAnsi="Arial" w:cs="Arial"/>
                <w:sz w:val="18"/>
                <w:szCs w:val="18"/>
              </w:rPr>
            </w:pPr>
            <w:r>
              <w:rPr>
                <w:rFonts w:ascii="Arial" w:hAnsi="Arial" w:cs="Arial"/>
                <w:sz w:val="18"/>
                <w:szCs w:val="18"/>
              </w:rPr>
              <w:t>20</w:t>
            </w:r>
          </w:p>
        </w:tc>
        <w:tc>
          <w:tcPr>
            <w:tcW w:w="1417" w:type="dxa"/>
            <w:tcBorders>
              <w:top w:val="nil"/>
              <w:left w:val="nil"/>
              <w:bottom w:val="single" w:sz="4" w:space="0" w:color="auto"/>
              <w:right w:val="single" w:sz="4" w:space="0" w:color="auto"/>
            </w:tcBorders>
          </w:tcPr>
          <w:p w:rsidR="00D82076" w:rsidRDefault="00D82076" w:rsidP="00312CB6">
            <w:pPr>
              <w:rPr>
                <w:rFonts w:ascii="Arial" w:hAnsi="Arial" w:cs="Arial"/>
                <w:sz w:val="18"/>
                <w:szCs w:val="18"/>
              </w:rPr>
            </w:pPr>
          </w:p>
          <w:p w:rsidR="00D82076" w:rsidRPr="00A319FE" w:rsidRDefault="00D82076" w:rsidP="00312CB6">
            <w:pPr>
              <w:rPr>
                <w:rFonts w:ascii="Arial" w:hAnsi="Arial" w:cs="Arial"/>
                <w:sz w:val="18"/>
                <w:szCs w:val="18"/>
              </w:rPr>
            </w:pPr>
            <w:r>
              <w:rPr>
                <w:rFonts w:ascii="Arial" w:hAnsi="Arial" w:cs="Arial"/>
                <w:sz w:val="18"/>
                <w:szCs w:val="18"/>
              </w:rPr>
              <w:t>20</w:t>
            </w:r>
          </w:p>
        </w:tc>
        <w:tc>
          <w:tcPr>
            <w:tcW w:w="1134" w:type="dxa"/>
            <w:tcBorders>
              <w:top w:val="nil"/>
              <w:left w:val="nil"/>
              <w:bottom w:val="single" w:sz="4" w:space="0" w:color="auto"/>
              <w:right w:val="single" w:sz="4" w:space="0" w:color="auto"/>
            </w:tcBorders>
          </w:tcPr>
          <w:p w:rsidR="00D82076" w:rsidRDefault="00D82076" w:rsidP="00312CB6">
            <w:pPr>
              <w:rPr>
                <w:rFonts w:ascii="Arial" w:hAnsi="Arial" w:cs="Arial"/>
                <w:sz w:val="18"/>
                <w:szCs w:val="18"/>
              </w:rPr>
            </w:pPr>
          </w:p>
          <w:p w:rsidR="00D82076" w:rsidRPr="00A319FE" w:rsidRDefault="00D82076" w:rsidP="00312CB6">
            <w:pPr>
              <w:rPr>
                <w:rFonts w:ascii="Arial" w:hAnsi="Arial" w:cs="Arial"/>
                <w:sz w:val="18"/>
                <w:szCs w:val="18"/>
              </w:rPr>
            </w:pPr>
            <w:r>
              <w:rPr>
                <w:rFonts w:ascii="Arial" w:hAnsi="Arial" w:cs="Arial"/>
                <w:sz w:val="18"/>
                <w:szCs w:val="18"/>
              </w:rPr>
              <w:t>100</w:t>
            </w:r>
          </w:p>
        </w:tc>
      </w:tr>
    </w:tbl>
    <w:p w:rsidR="007F1AAB" w:rsidRDefault="007F1AAB" w:rsidP="007F1AAB">
      <w:pPr>
        <w:rPr>
          <w:rFonts w:ascii="Arial" w:hAnsi="Arial" w:cs="Arial"/>
          <w:sz w:val="18"/>
          <w:szCs w:val="18"/>
        </w:rPr>
      </w:pPr>
    </w:p>
    <w:p w:rsidR="00A03757" w:rsidRPr="00A03757" w:rsidRDefault="00A03757" w:rsidP="00A03757">
      <w:pPr>
        <w:autoSpaceDE w:val="0"/>
        <w:autoSpaceDN w:val="0"/>
        <w:adjustRightInd w:val="0"/>
        <w:spacing w:before="40" w:after="0" w:line="241" w:lineRule="atLeast"/>
        <w:ind w:left="560" w:hanging="560"/>
        <w:jc w:val="both"/>
        <w:rPr>
          <w:rFonts w:ascii="Minion Pro" w:hAnsi="Minion Pro"/>
          <w:sz w:val="23"/>
          <w:szCs w:val="23"/>
        </w:rPr>
      </w:pPr>
      <w:r w:rsidRPr="00A03757">
        <w:rPr>
          <w:rFonts w:ascii="Minion Pro" w:hAnsi="Minion Pro"/>
          <w:b/>
          <w:bCs/>
          <w:sz w:val="23"/>
          <w:szCs w:val="23"/>
        </w:rPr>
        <w:lastRenderedPageBreak/>
        <w:t>Finanční vypořádá</w:t>
      </w:r>
      <w:r>
        <w:rPr>
          <w:rFonts w:ascii="Minion Pro" w:hAnsi="Minion Pro"/>
          <w:b/>
          <w:bCs/>
          <w:sz w:val="23"/>
          <w:szCs w:val="23"/>
        </w:rPr>
        <w:t>ní s příjemci dotací za rok 2016</w:t>
      </w:r>
      <w:r w:rsidRPr="00A03757">
        <w:rPr>
          <w:rFonts w:ascii="Minion Pro" w:hAnsi="Minion Pro"/>
          <w:b/>
          <w:bCs/>
          <w:sz w:val="23"/>
          <w:szCs w:val="23"/>
        </w:rPr>
        <w:t xml:space="preserve"> </w:t>
      </w:r>
    </w:p>
    <w:p w:rsidR="00A03757" w:rsidRPr="00A03757" w:rsidRDefault="00A03757" w:rsidP="00A03757">
      <w:pPr>
        <w:autoSpaceDE w:val="0"/>
        <w:autoSpaceDN w:val="0"/>
        <w:adjustRightInd w:val="0"/>
        <w:spacing w:after="0" w:line="240" w:lineRule="auto"/>
        <w:rPr>
          <w:rFonts w:ascii="Minion Pro" w:hAnsi="Minion Pro" w:cs="Minion Pro"/>
          <w:color w:val="000000"/>
          <w:sz w:val="24"/>
          <w:szCs w:val="24"/>
        </w:rPr>
      </w:pPr>
    </w:p>
    <w:p w:rsidR="00A03757" w:rsidRPr="00931E7D" w:rsidRDefault="00A03757" w:rsidP="00A03757">
      <w:pPr>
        <w:pStyle w:val="Default"/>
        <w:rPr>
          <w:rFonts w:asciiTheme="minorHAnsi" w:hAnsiTheme="minorHAnsi" w:cstheme="minorBidi"/>
          <w:color w:val="auto"/>
          <w:sz w:val="22"/>
          <w:szCs w:val="22"/>
        </w:rPr>
      </w:pPr>
      <w:r w:rsidRPr="00931E7D">
        <w:rPr>
          <w:rFonts w:asciiTheme="minorHAnsi" w:hAnsiTheme="minorHAnsi" w:cstheme="minorBidi"/>
          <w:color w:val="auto"/>
          <w:sz w:val="22"/>
          <w:szCs w:val="22"/>
        </w:rPr>
        <w:t xml:space="preserve">Podpory zájmových skupin: Včelaři - </w:t>
      </w:r>
      <w:r w:rsidR="00BA037C" w:rsidRPr="00931E7D">
        <w:rPr>
          <w:rFonts w:asciiTheme="minorHAnsi" w:hAnsiTheme="minorHAnsi" w:cstheme="minorBidi"/>
          <w:color w:val="auto"/>
          <w:sz w:val="22"/>
          <w:szCs w:val="22"/>
        </w:rPr>
        <w:t xml:space="preserve">Odvod </w:t>
      </w:r>
      <w:proofErr w:type="spellStart"/>
      <w:r w:rsidR="00BA037C" w:rsidRPr="00931E7D">
        <w:rPr>
          <w:rFonts w:asciiTheme="minorHAnsi" w:hAnsiTheme="minorHAnsi" w:cstheme="minorBidi"/>
          <w:color w:val="auto"/>
          <w:sz w:val="22"/>
          <w:szCs w:val="22"/>
        </w:rPr>
        <w:t>trasfe</w:t>
      </w:r>
      <w:r w:rsidRPr="00931E7D">
        <w:rPr>
          <w:rFonts w:asciiTheme="minorHAnsi" w:hAnsiTheme="minorHAnsi" w:cstheme="minorBidi"/>
          <w:color w:val="auto"/>
          <w:sz w:val="22"/>
          <w:szCs w:val="22"/>
        </w:rPr>
        <w:t>ru</w:t>
      </w:r>
      <w:proofErr w:type="spellEnd"/>
      <w:r w:rsidRPr="00931E7D">
        <w:rPr>
          <w:rFonts w:asciiTheme="minorHAnsi" w:hAnsiTheme="minorHAnsi" w:cstheme="minorBidi"/>
          <w:color w:val="auto"/>
          <w:sz w:val="22"/>
          <w:szCs w:val="22"/>
        </w:rPr>
        <w:t xml:space="preserve"> – 4000,- CZK</w:t>
      </w:r>
      <w:r w:rsidR="00A8262F" w:rsidRPr="00931E7D">
        <w:rPr>
          <w:rFonts w:asciiTheme="minorHAnsi" w:hAnsiTheme="minorHAnsi" w:cstheme="minorBidi"/>
          <w:color w:val="auto"/>
          <w:sz w:val="22"/>
          <w:szCs w:val="22"/>
        </w:rPr>
        <w:t xml:space="preserve"> a Chovatelé</w:t>
      </w:r>
      <w:r w:rsidRPr="00931E7D">
        <w:rPr>
          <w:rFonts w:asciiTheme="minorHAnsi" w:hAnsiTheme="minorHAnsi" w:cstheme="minorBidi"/>
          <w:color w:val="auto"/>
          <w:sz w:val="22"/>
          <w:szCs w:val="22"/>
        </w:rPr>
        <w:t xml:space="preserve"> - Odvod </w:t>
      </w:r>
      <w:proofErr w:type="spellStart"/>
      <w:r w:rsidRPr="00931E7D">
        <w:rPr>
          <w:rFonts w:asciiTheme="minorHAnsi" w:hAnsiTheme="minorHAnsi" w:cstheme="minorBidi"/>
          <w:color w:val="auto"/>
          <w:sz w:val="22"/>
          <w:szCs w:val="22"/>
        </w:rPr>
        <w:t>trasferu</w:t>
      </w:r>
      <w:proofErr w:type="spellEnd"/>
      <w:r w:rsidRPr="00931E7D">
        <w:rPr>
          <w:rFonts w:asciiTheme="minorHAnsi" w:hAnsiTheme="minorHAnsi" w:cstheme="minorBidi"/>
          <w:color w:val="auto"/>
          <w:sz w:val="22"/>
          <w:szCs w:val="22"/>
        </w:rPr>
        <w:t xml:space="preserve"> – 15.000,- CZK </w:t>
      </w:r>
    </w:p>
    <w:p w:rsidR="00A03757" w:rsidRDefault="00A03757" w:rsidP="007F1AAB">
      <w:pPr>
        <w:pStyle w:val="Default"/>
      </w:pPr>
    </w:p>
    <w:p w:rsidR="007F1AAB" w:rsidRPr="00931E7D" w:rsidRDefault="007F1AAB" w:rsidP="007F1AAB">
      <w:pPr>
        <w:outlineLvl w:val="0"/>
        <w:rPr>
          <w:rFonts w:ascii="Minion Pro" w:hAnsi="Minion Pro"/>
          <w:b/>
          <w:bCs/>
          <w:sz w:val="23"/>
          <w:szCs w:val="23"/>
        </w:rPr>
      </w:pPr>
      <w:r w:rsidRPr="00931E7D">
        <w:rPr>
          <w:rFonts w:ascii="Minion Pro" w:hAnsi="Minion Pro"/>
          <w:b/>
          <w:bCs/>
          <w:sz w:val="23"/>
          <w:szCs w:val="23"/>
        </w:rPr>
        <w:t>7) Zpráva o výsledku přezkoum</w:t>
      </w:r>
      <w:r w:rsidR="00A8262F" w:rsidRPr="00931E7D">
        <w:rPr>
          <w:rFonts w:ascii="Minion Pro" w:hAnsi="Minion Pro"/>
          <w:b/>
          <w:bCs/>
          <w:sz w:val="23"/>
          <w:szCs w:val="23"/>
        </w:rPr>
        <w:t>ání hospodaření obce za rok 2016</w:t>
      </w:r>
    </w:p>
    <w:p w:rsidR="00BA037C" w:rsidRPr="00931E7D" w:rsidRDefault="003B0056" w:rsidP="00931E7D">
      <w:pPr>
        <w:pStyle w:val="Default"/>
        <w:rPr>
          <w:rFonts w:asciiTheme="minorHAnsi" w:hAnsiTheme="minorHAnsi" w:cstheme="minorBidi"/>
          <w:color w:val="auto"/>
          <w:sz w:val="22"/>
          <w:szCs w:val="22"/>
        </w:rPr>
      </w:pPr>
      <w:r w:rsidRPr="00931E7D">
        <w:rPr>
          <w:rFonts w:asciiTheme="minorHAnsi" w:hAnsiTheme="minorHAnsi" w:cstheme="minorBidi"/>
          <w:color w:val="auto"/>
          <w:sz w:val="22"/>
          <w:szCs w:val="22"/>
        </w:rPr>
        <w:t>Přezkoumání hospodaření</w:t>
      </w:r>
      <w:r w:rsidR="00BA037C" w:rsidRPr="00931E7D">
        <w:rPr>
          <w:rFonts w:asciiTheme="minorHAnsi" w:hAnsiTheme="minorHAnsi" w:cstheme="minorBidi"/>
          <w:color w:val="auto"/>
          <w:sz w:val="22"/>
          <w:szCs w:val="22"/>
        </w:rPr>
        <w:t xml:space="preserve"> obce za rok 2016, bylo přezkoumáno Krajským úřadem v souladu se zákonem č. 128/2000 Sb. o obcích ve znění pozdějších předpisů a v rozsahu daném zákonem č. 420/2004 Sb. o přezkoumání hospodaření územních samosprávných celků a dobrovolných svazků obcí, ve znění pozdějších předpisů. Krajský úřad zhodnotil hospodaření obce tímto závěrem (část D zprávy o výsledku přezkoumání hospodaření obce za rok 2016 ze </w:t>
      </w:r>
    </w:p>
    <w:p w:rsidR="00BA037C" w:rsidRPr="00931E7D" w:rsidRDefault="00BA037C" w:rsidP="00931E7D">
      <w:pPr>
        <w:pStyle w:val="Default"/>
        <w:rPr>
          <w:rFonts w:asciiTheme="minorHAnsi" w:hAnsiTheme="minorHAnsi" w:cstheme="minorBidi"/>
          <w:color w:val="auto"/>
          <w:sz w:val="22"/>
          <w:szCs w:val="22"/>
        </w:rPr>
      </w:pPr>
      <w:r w:rsidRPr="00931E7D">
        <w:rPr>
          <w:rFonts w:asciiTheme="minorHAnsi" w:hAnsiTheme="minorHAnsi" w:cstheme="minorBidi"/>
          <w:color w:val="auto"/>
          <w:sz w:val="22"/>
          <w:szCs w:val="22"/>
        </w:rPr>
        <w:t xml:space="preserve">dne 21.04.2017). </w:t>
      </w:r>
    </w:p>
    <w:p w:rsidR="00BA037C" w:rsidRPr="00BA037C" w:rsidRDefault="00BA037C" w:rsidP="00BA037C">
      <w:pPr>
        <w:pStyle w:val="Default"/>
      </w:pPr>
    </w:p>
    <w:p w:rsidR="002A26C8" w:rsidRPr="00931E7D" w:rsidRDefault="00BA037C" w:rsidP="00931E7D">
      <w:pPr>
        <w:outlineLvl w:val="0"/>
        <w:rPr>
          <w:rFonts w:ascii="Minion Pro" w:hAnsi="Minion Pro"/>
          <w:b/>
          <w:bCs/>
          <w:sz w:val="23"/>
          <w:szCs w:val="23"/>
        </w:rPr>
      </w:pPr>
      <w:r w:rsidRPr="00931E7D">
        <w:rPr>
          <w:rFonts w:ascii="Minion Pro" w:hAnsi="Minion Pro"/>
          <w:b/>
          <w:bCs/>
          <w:sz w:val="23"/>
          <w:szCs w:val="23"/>
        </w:rPr>
        <w:t xml:space="preserve"> </w:t>
      </w:r>
      <w:r w:rsidR="003B0056" w:rsidRPr="00931E7D">
        <w:rPr>
          <w:rFonts w:ascii="Minion Pro" w:hAnsi="Minion Pro"/>
          <w:b/>
          <w:bCs/>
          <w:sz w:val="23"/>
          <w:szCs w:val="23"/>
        </w:rPr>
        <w:t xml:space="preserve"> </w:t>
      </w:r>
      <w:r w:rsidR="002A26C8" w:rsidRPr="00931E7D">
        <w:rPr>
          <w:rFonts w:ascii="Minion Pro" w:hAnsi="Minion Pro"/>
          <w:b/>
          <w:bCs/>
          <w:sz w:val="23"/>
          <w:szCs w:val="23"/>
        </w:rPr>
        <w:t xml:space="preserve">D. Závěr -   Při přezkoumání hospodaření ÚSC Žalany za rok 2016 </w:t>
      </w:r>
    </w:p>
    <w:p w:rsidR="002A26C8" w:rsidRPr="002A26C8" w:rsidRDefault="002A26C8" w:rsidP="002A26C8">
      <w:pPr>
        <w:pStyle w:val="Pa63"/>
        <w:jc w:val="both"/>
        <w:rPr>
          <w:sz w:val="22"/>
          <w:szCs w:val="22"/>
        </w:rPr>
      </w:pPr>
    </w:p>
    <w:p w:rsidR="002A26C8" w:rsidRPr="00931E7D" w:rsidRDefault="002A26C8" w:rsidP="00931E7D">
      <w:pPr>
        <w:outlineLvl w:val="0"/>
        <w:rPr>
          <w:rFonts w:ascii="Minion Pro" w:hAnsi="Minion Pro"/>
          <w:b/>
          <w:bCs/>
          <w:sz w:val="23"/>
          <w:szCs w:val="23"/>
        </w:rPr>
      </w:pPr>
      <w:r w:rsidRPr="00931E7D">
        <w:rPr>
          <w:rFonts w:ascii="Minion Pro" w:hAnsi="Minion Pro"/>
          <w:b/>
          <w:bCs/>
          <w:sz w:val="23"/>
          <w:szCs w:val="23"/>
        </w:rPr>
        <w:t>byly zjištěny méně závažné chyby a nedostatky (§ 10 odst. 3 písm. b) zákona č. 420/2004 Sb.):</w:t>
      </w:r>
    </w:p>
    <w:p w:rsidR="002A26C8" w:rsidRPr="002A26C8" w:rsidRDefault="002A26C8" w:rsidP="002A26C8">
      <w:pPr>
        <w:pStyle w:val="Pa63"/>
        <w:jc w:val="both"/>
        <w:rPr>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Předmět: Zákon č. 420/2004 Sb. § 2 odst. 2 písm. h) účetnictví vedené územním celkem</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Právní předpis: ČÚS č. 701 – 710 (§ 36 odst. 1 zákona o účetnictví)</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ČÚS č. 701 bod 4.2. písm. b) - Územní celek nevytvořil analytické účty, případně nezajistil jinými nástroji pro členění syntetických účtů  majetek zatížený zástavním právem.</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Obec nevytvořila analytické účty pro majetek zatížený zástavním právem a ani jinými nástroji nezajistila jeho označení v účetnictví.</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ČÚS č. 701 bod 6.2. a 6.3. - Územní celek neúčtoval k okamžiku uskutečnění účetního případu.</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Obec neúčtuje předpisy na pohledávky za nájemné a poplatky.</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ČÚS č. 701 bod 6.2. a 6.3. - Územní celek neúčtoval k okamžiku uskutečnění účetního případu.</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Obec vybírá poplatky v hotovosti na základě vystavených stvrzenek. Celkovou částku za několik různých období (červenec až září 2016) odvede na běžný účet, kde jsou následně rozúčtovány na výnosové účty. Tyto příjmy tak nejsou vůbec příjmem pokladny</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ČÚS č. 708 bod 8. - Územní celek nedodržel postupy účtování o odpisech, resp. oprávkách.</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 xml:space="preserve">Obec v roce 2016 neúčtovala v souladu s ČÚS č. 708 Odpisování dlouhodobého majetku s bodem 8.3 o odepisování dlouhodobého majetku pořízeného zcela nebo zčásti z investičního transferu SÚ 403 - Transfery na pořízení dlouhodobého majetku. </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lastRenderedPageBreak/>
        <w:t xml:space="preserve">ČÚS č. 710 bod 6. - Územní celek nedodržel postup účtování </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o dlouhodobém hmotném majetku.</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 xml:space="preserve">Obec neúčtuje při pořízení drobného dlouhodobého majetku </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v souladu s ČÚS č. 710 - není použit účet 558 - Náklady z drobného dlouhodobého majetku.</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Právní předpis: Zákon č. 563/1991 Sb., o účetnictví, ve znění pozdějších předpisů</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 11 odst. 1 písm. f) - Účetní doklady neobsahovaly podpisový záznam odpovědné osoby.</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 xml:space="preserve">V měsíci prosinci 2016 účetní účtovala o vyřazení položek dlouhodobého majetku (vysokotlaký plynovod, středotlaký plynovod v pořizovací ceně celkem 14 758 200,- Kč). Protokoly </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o vyřazení majetku neobsahovaly datum a podpis schválení likvidační komisí a vedoucího účetní jednotky.</w:t>
      </w:r>
    </w:p>
    <w:p w:rsidR="002A26C8" w:rsidRPr="002A26C8" w:rsidRDefault="002A26C8" w:rsidP="002A26C8">
      <w:pPr>
        <w:pStyle w:val="Pa63"/>
        <w:jc w:val="both"/>
        <w:rPr>
          <w:sz w:val="22"/>
          <w:szCs w:val="22"/>
        </w:rPr>
      </w:pPr>
    </w:p>
    <w:p w:rsidR="002A26C8" w:rsidRPr="00931E7D" w:rsidRDefault="002A26C8" w:rsidP="00931E7D">
      <w:pPr>
        <w:outlineLvl w:val="0"/>
        <w:rPr>
          <w:rFonts w:ascii="Minion Pro" w:hAnsi="Minion Pro"/>
          <w:b/>
          <w:bCs/>
          <w:sz w:val="23"/>
          <w:szCs w:val="23"/>
        </w:rPr>
      </w:pPr>
      <w:r w:rsidRPr="00931E7D">
        <w:rPr>
          <w:rFonts w:ascii="Minion Pro" w:hAnsi="Minion Pro"/>
          <w:b/>
          <w:bCs/>
          <w:sz w:val="23"/>
          <w:szCs w:val="23"/>
        </w:rPr>
        <w:t>byly zjištěny závažné chyby a nedostatky (§10 odst. 3 písm. c) zákona č. 420/2004 Sb.):</w:t>
      </w:r>
    </w:p>
    <w:p w:rsidR="002A26C8" w:rsidRPr="002A26C8" w:rsidRDefault="002A26C8" w:rsidP="002A26C8">
      <w:pPr>
        <w:pStyle w:val="Pa63"/>
        <w:jc w:val="both"/>
        <w:rPr>
          <w:sz w:val="22"/>
          <w:szCs w:val="22"/>
        </w:rPr>
      </w:pPr>
    </w:p>
    <w:p w:rsidR="002A26C8" w:rsidRPr="00931E7D" w:rsidRDefault="002A26C8" w:rsidP="00931E7D">
      <w:pPr>
        <w:outlineLvl w:val="0"/>
        <w:rPr>
          <w:rFonts w:ascii="Minion Pro" w:hAnsi="Minion Pro"/>
          <w:b/>
          <w:bCs/>
          <w:sz w:val="23"/>
          <w:szCs w:val="23"/>
        </w:rPr>
      </w:pPr>
      <w:r w:rsidRPr="00931E7D">
        <w:rPr>
          <w:rFonts w:ascii="Minion Pro" w:hAnsi="Minion Pro"/>
          <w:b/>
          <w:bCs/>
          <w:sz w:val="23"/>
          <w:szCs w:val="23"/>
        </w:rPr>
        <w:t>c2) neprůkazné</w:t>
      </w:r>
    </w:p>
    <w:p w:rsidR="002A26C8" w:rsidRPr="002A26C8" w:rsidRDefault="002A26C8" w:rsidP="002A26C8">
      <w:pPr>
        <w:pStyle w:val="Pa63"/>
        <w:jc w:val="both"/>
        <w:rPr>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Inventurní soupis nebyl vyhotoven ve stanoveném rozsahu.</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Nebyla sestavena inventarizační zpráva.</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Účetní doklady nebyly průkazné.</w:t>
      </w:r>
    </w:p>
    <w:p w:rsidR="002A26C8" w:rsidRPr="002A26C8" w:rsidRDefault="002A26C8" w:rsidP="002A26C8">
      <w:pPr>
        <w:pStyle w:val="Pa63"/>
        <w:jc w:val="both"/>
        <w:rPr>
          <w:sz w:val="22"/>
          <w:szCs w:val="22"/>
        </w:rPr>
      </w:pPr>
    </w:p>
    <w:p w:rsidR="002A26C8" w:rsidRPr="00931E7D" w:rsidRDefault="002A26C8" w:rsidP="00931E7D">
      <w:pPr>
        <w:outlineLvl w:val="0"/>
        <w:rPr>
          <w:rFonts w:ascii="Minion Pro" w:hAnsi="Minion Pro"/>
          <w:b/>
          <w:bCs/>
          <w:sz w:val="23"/>
          <w:szCs w:val="23"/>
        </w:rPr>
      </w:pPr>
      <w:r w:rsidRPr="00931E7D">
        <w:rPr>
          <w:rFonts w:ascii="Minion Pro" w:hAnsi="Minion Pro"/>
          <w:b/>
          <w:bCs/>
          <w:sz w:val="23"/>
          <w:szCs w:val="23"/>
        </w:rPr>
        <w:t>c4) překročení působnosti, porušení povinnosti</w:t>
      </w:r>
    </w:p>
    <w:p w:rsidR="002A26C8" w:rsidRPr="002A26C8" w:rsidRDefault="002A26C8" w:rsidP="002A26C8">
      <w:pPr>
        <w:pStyle w:val="Pa63"/>
        <w:jc w:val="both"/>
        <w:rPr>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 xml:space="preserve">Finanční výkaz FIN 2 -12 M nebyl sestaven v rozsahu daném přílohou </w:t>
      </w: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č. 6 vyhlášky.</w:t>
      </w:r>
    </w:p>
    <w:p w:rsidR="002A26C8" w:rsidRPr="00931E7D" w:rsidRDefault="002A26C8" w:rsidP="002A26C8">
      <w:pPr>
        <w:pStyle w:val="Pa63"/>
        <w:jc w:val="both"/>
        <w:rPr>
          <w:rFonts w:asciiTheme="minorHAnsi" w:hAnsiTheme="minorHAnsi"/>
          <w:sz w:val="22"/>
          <w:szCs w:val="22"/>
        </w:rPr>
      </w:pPr>
    </w:p>
    <w:p w:rsidR="002A26C8"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 xml:space="preserve">Nad rámec zákona byly vyplaceny mimořádné odměny uvolněným </w:t>
      </w:r>
    </w:p>
    <w:p w:rsidR="003B0056" w:rsidRPr="00931E7D" w:rsidRDefault="002A26C8" w:rsidP="002A26C8">
      <w:pPr>
        <w:pStyle w:val="Pa63"/>
        <w:jc w:val="both"/>
        <w:rPr>
          <w:rFonts w:asciiTheme="minorHAnsi" w:hAnsiTheme="minorHAnsi"/>
          <w:sz w:val="22"/>
          <w:szCs w:val="22"/>
        </w:rPr>
      </w:pPr>
      <w:r w:rsidRPr="00931E7D">
        <w:rPr>
          <w:rFonts w:asciiTheme="minorHAnsi" w:hAnsiTheme="minorHAnsi"/>
          <w:sz w:val="22"/>
          <w:szCs w:val="22"/>
        </w:rPr>
        <w:t>nebo neuvolněným členům zastupitelstva.</w:t>
      </w:r>
    </w:p>
    <w:p w:rsidR="002A26C8" w:rsidRDefault="002A26C8" w:rsidP="002A26C8">
      <w:pPr>
        <w:pStyle w:val="Default"/>
      </w:pPr>
    </w:p>
    <w:p w:rsidR="002A26C8" w:rsidRPr="00931E7D" w:rsidRDefault="002A26C8" w:rsidP="00931E7D">
      <w:pPr>
        <w:outlineLvl w:val="0"/>
        <w:rPr>
          <w:rFonts w:ascii="Minion Pro" w:hAnsi="Minion Pro"/>
          <w:b/>
          <w:bCs/>
          <w:sz w:val="23"/>
          <w:szCs w:val="23"/>
        </w:rPr>
      </w:pPr>
      <w:r w:rsidRPr="00931E7D">
        <w:rPr>
          <w:rFonts w:ascii="Minion Pro" w:hAnsi="Minion Pro"/>
          <w:b/>
          <w:bCs/>
          <w:sz w:val="23"/>
          <w:szCs w:val="23"/>
        </w:rPr>
        <w:t>Při přezkoumání hospodaření  ÚSC Žalany za rok 2016</w:t>
      </w:r>
    </w:p>
    <w:p w:rsidR="00E74F4E" w:rsidRDefault="00E74F4E" w:rsidP="002A26C8">
      <w:pPr>
        <w:pStyle w:val="Default"/>
      </w:pPr>
    </w:p>
    <w:p w:rsidR="002A26C8" w:rsidRPr="00931E7D" w:rsidRDefault="002A26C8" w:rsidP="00931E7D">
      <w:pPr>
        <w:pStyle w:val="Pa63"/>
        <w:jc w:val="both"/>
        <w:rPr>
          <w:rFonts w:asciiTheme="minorHAnsi" w:hAnsiTheme="minorHAnsi"/>
          <w:sz w:val="22"/>
          <w:szCs w:val="22"/>
        </w:rPr>
      </w:pPr>
      <w:r w:rsidRPr="00931E7D">
        <w:rPr>
          <w:rFonts w:asciiTheme="minorHAnsi" w:hAnsiTheme="minorHAnsi"/>
          <w:sz w:val="22"/>
          <w:szCs w:val="22"/>
        </w:rPr>
        <w:t xml:space="preserve">byly zjištěny dle § 10 odst. 4 písm. b) zákona č. 420/2004 Sb. následující podíly: </w:t>
      </w:r>
    </w:p>
    <w:p w:rsidR="002A26C8" w:rsidRPr="00931E7D" w:rsidRDefault="002A26C8" w:rsidP="00931E7D">
      <w:pPr>
        <w:pStyle w:val="Pa63"/>
        <w:jc w:val="both"/>
        <w:rPr>
          <w:rFonts w:asciiTheme="minorHAnsi" w:hAnsiTheme="minorHAnsi"/>
          <w:sz w:val="22"/>
          <w:szCs w:val="22"/>
        </w:rPr>
      </w:pPr>
    </w:p>
    <w:p w:rsidR="002A26C8" w:rsidRPr="00931E7D" w:rsidRDefault="002A26C8" w:rsidP="00931E7D">
      <w:pPr>
        <w:pStyle w:val="Pa63"/>
        <w:jc w:val="both"/>
        <w:rPr>
          <w:rFonts w:asciiTheme="minorHAnsi" w:hAnsiTheme="minorHAnsi"/>
          <w:sz w:val="22"/>
          <w:szCs w:val="22"/>
        </w:rPr>
      </w:pPr>
      <w:r w:rsidRPr="00931E7D">
        <w:rPr>
          <w:rFonts w:asciiTheme="minorHAnsi" w:hAnsiTheme="minorHAnsi"/>
          <w:sz w:val="22"/>
          <w:szCs w:val="22"/>
        </w:rPr>
        <w:t>a) podíl pohledávek na rozpočtu územního celku</w:t>
      </w:r>
      <w:r w:rsidRPr="00931E7D">
        <w:rPr>
          <w:rFonts w:asciiTheme="minorHAnsi" w:hAnsiTheme="minorHAnsi"/>
          <w:sz w:val="22"/>
          <w:szCs w:val="22"/>
        </w:rPr>
        <w:tab/>
        <w:t>0,21 %</w:t>
      </w:r>
      <w:r w:rsidRPr="00931E7D">
        <w:rPr>
          <w:rFonts w:asciiTheme="minorHAnsi" w:hAnsiTheme="minorHAnsi"/>
          <w:sz w:val="22"/>
          <w:szCs w:val="22"/>
        </w:rPr>
        <w:cr/>
      </w:r>
    </w:p>
    <w:p w:rsidR="002A26C8" w:rsidRPr="00931E7D" w:rsidRDefault="002A26C8" w:rsidP="00931E7D">
      <w:pPr>
        <w:pStyle w:val="Pa63"/>
        <w:jc w:val="both"/>
        <w:rPr>
          <w:rFonts w:asciiTheme="minorHAnsi" w:hAnsiTheme="minorHAnsi"/>
          <w:sz w:val="22"/>
          <w:szCs w:val="22"/>
        </w:rPr>
      </w:pPr>
      <w:r w:rsidRPr="00931E7D">
        <w:rPr>
          <w:rFonts w:asciiTheme="minorHAnsi" w:hAnsiTheme="minorHAnsi"/>
          <w:sz w:val="22"/>
          <w:szCs w:val="22"/>
        </w:rPr>
        <w:t>b) podíl závazků na rozpočtu územního celku</w:t>
      </w:r>
      <w:r w:rsidRPr="00931E7D">
        <w:rPr>
          <w:rFonts w:asciiTheme="minorHAnsi" w:hAnsiTheme="minorHAnsi"/>
          <w:sz w:val="22"/>
          <w:szCs w:val="22"/>
        </w:rPr>
        <w:tab/>
        <w:t>9,82 %</w:t>
      </w:r>
      <w:r w:rsidRPr="00931E7D">
        <w:rPr>
          <w:rFonts w:asciiTheme="minorHAnsi" w:hAnsiTheme="minorHAnsi"/>
          <w:sz w:val="22"/>
          <w:szCs w:val="22"/>
        </w:rPr>
        <w:cr/>
      </w:r>
    </w:p>
    <w:p w:rsidR="002A26C8" w:rsidRPr="00931E7D" w:rsidRDefault="002A26C8" w:rsidP="00931E7D">
      <w:pPr>
        <w:pStyle w:val="Pa63"/>
        <w:jc w:val="both"/>
        <w:rPr>
          <w:rFonts w:asciiTheme="minorHAnsi" w:hAnsiTheme="minorHAnsi"/>
          <w:sz w:val="22"/>
          <w:szCs w:val="22"/>
        </w:rPr>
      </w:pPr>
      <w:r w:rsidRPr="00931E7D">
        <w:rPr>
          <w:rFonts w:asciiTheme="minorHAnsi" w:hAnsiTheme="minorHAnsi"/>
          <w:sz w:val="22"/>
          <w:szCs w:val="22"/>
        </w:rPr>
        <w:t>c) podíl zastaveného majetku na celkovém majetku územního celku</w:t>
      </w:r>
      <w:r w:rsidRPr="00931E7D">
        <w:rPr>
          <w:rFonts w:asciiTheme="minorHAnsi" w:hAnsiTheme="minorHAnsi"/>
          <w:sz w:val="22"/>
          <w:szCs w:val="22"/>
        </w:rPr>
        <w:tab/>
        <w:t xml:space="preserve">38,16 % </w:t>
      </w:r>
      <w:r w:rsidRPr="00931E7D">
        <w:rPr>
          <w:rFonts w:asciiTheme="minorHAnsi" w:hAnsiTheme="minorHAnsi"/>
          <w:sz w:val="22"/>
          <w:szCs w:val="22"/>
        </w:rPr>
        <w:cr/>
      </w:r>
    </w:p>
    <w:p w:rsidR="001C39BF" w:rsidRPr="00931E7D" w:rsidRDefault="003B0056" w:rsidP="00931E7D">
      <w:pPr>
        <w:pStyle w:val="Pa63"/>
        <w:jc w:val="both"/>
        <w:rPr>
          <w:rFonts w:asciiTheme="minorHAnsi" w:hAnsiTheme="minorHAnsi"/>
          <w:sz w:val="22"/>
          <w:szCs w:val="22"/>
        </w:rPr>
      </w:pPr>
      <w:r w:rsidRPr="00931E7D">
        <w:rPr>
          <w:rFonts w:asciiTheme="minorHAnsi" w:hAnsiTheme="minorHAnsi"/>
          <w:sz w:val="22"/>
          <w:szCs w:val="22"/>
        </w:rPr>
        <w:t>Plné znění zprávy o provedeném přezkoum</w:t>
      </w:r>
      <w:r w:rsidR="002A26C8" w:rsidRPr="00931E7D">
        <w:rPr>
          <w:rFonts w:asciiTheme="minorHAnsi" w:hAnsiTheme="minorHAnsi"/>
          <w:sz w:val="22"/>
          <w:szCs w:val="22"/>
        </w:rPr>
        <w:t>ání hospodaření obce za rok 2016 je přílohou k závěrečnému účtu č.4</w:t>
      </w:r>
    </w:p>
    <w:p w:rsidR="002A26C8" w:rsidRDefault="002A26C8" w:rsidP="003B0056">
      <w:pPr>
        <w:pStyle w:val="Default"/>
        <w:rPr>
          <w:sz w:val="22"/>
          <w:szCs w:val="22"/>
        </w:rPr>
      </w:pPr>
    </w:p>
    <w:p w:rsidR="003B0056" w:rsidRPr="00931E7D" w:rsidRDefault="003B0056" w:rsidP="003B0056">
      <w:pPr>
        <w:outlineLvl w:val="0"/>
        <w:rPr>
          <w:rFonts w:ascii="Minion Pro" w:hAnsi="Minion Pro"/>
          <w:b/>
          <w:bCs/>
          <w:sz w:val="23"/>
          <w:szCs w:val="23"/>
        </w:rPr>
      </w:pPr>
      <w:r w:rsidRPr="00931E7D">
        <w:rPr>
          <w:rFonts w:ascii="Minion Pro" w:hAnsi="Minion Pro"/>
          <w:b/>
          <w:bCs/>
          <w:sz w:val="23"/>
          <w:szCs w:val="23"/>
        </w:rPr>
        <w:t>6. Návrh usnesení k závěrečnému účtu :</w:t>
      </w:r>
    </w:p>
    <w:p w:rsidR="003B0056" w:rsidRPr="00A52534" w:rsidRDefault="003B0056" w:rsidP="003B0056">
      <w:pPr>
        <w:rPr>
          <w:rFonts w:ascii="Minion Pro" w:hAnsi="Minion Pro" w:cs="Minion Pro"/>
          <w:b/>
          <w:color w:val="000000"/>
          <w:sz w:val="24"/>
          <w:szCs w:val="24"/>
        </w:rPr>
      </w:pPr>
      <w:r w:rsidRPr="00A52534">
        <w:rPr>
          <w:rFonts w:ascii="Minion Pro" w:hAnsi="Minion Pro" w:cs="Minion Pro"/>
          <w:b/>
          <w:color w:val="000000"/>
          <w:sz w:val="24"/>
          <w:szCs w:val="24"/>
        </w:rPr>
        <w:t>a/ Zastupitelstvo projednalo závěrečný účet obce k 31.12.</w:t>
      </w:r>
      <w:r w:rsidR="00E74F4E" w:rsidRPr="00A52534">
        <w:rPr>
          <w:rFonts w:ascii="Minion Pro" w:hAnsi="Minion Pro" w:cs="Minion Pro"/>
          <w:b/>
          <w:color w:val="000000"/>
          <w:sz w:val="24"/>
          <w:szCs w:val="24"/>
        </w:rPr>
        <w:t>2016</w:t>
      </w:r>
      <w:r w:rsidRPr="00A52534">
        <w:rPr>
          <w:rFonts w:ascii="Minion Pro" w:hAnsi="Minion Pro" w:cs="Minion Pro"/>
          <w:b/>
          <w:color w:val="000000"/>
          <w:sz w:val="24"/>
          <w:szCs w:val="24"/>
        </w:rPr>
        <w:t xml:space="preserve"> a vyjadřuje souhlas s celoročním hospodařením, a to s výhradami k nedostatkům zjištěných při přezkoumání hospodaření</w:t>
      </w:r>
      <w:r w:rsidR="00E74F4E" w:rsidRPr="00A52534">
        <w:rPr>
          <w:rFonts w:ascii="Minion Pro" w:hAnsi="Minion Pro" w:cs="Minion Pro"/>
          <w:b/>
          <w:color w:val="000000"/>
          <w:sz w:val="24"/>
          <w:szCs w:val="24"/>
        </w:rPr>
        <w:t xml:space="preserve">. </w:t>
      </w:r>
    </w:p>
    <w:p w:rsidR="003B0056" w:rsidRPr="00A52534" w:rsidRDefault="003B0056" w:rsidP="003B0056">
      <w:pPr>
        <w:rPr>
          <w:rFonts w:ascii="Minion Pro" w:hAnsi="Minion Pro" w:cs="Minion Pro"/>
          <w:b/>
          <w:color w:val="000000"/>
          <w:sz w:val="24"/>
          <w:szCs w:val="24"/>
        </w:rPr>
      </w:pPr>
      <w:r w:rsidRPr="00A52534">
        <w:rPr>
          <w:rFonts w:ascii="Minion Pro" w:hAnsi="Minion Pro" w:cs="Minion Pro"/>
          <w:b/>
          <w:color w:val="000000"/>
          <w:sz w:val="24"/>
          <w:szCs w:val="24"/>
        </w:rPr>
        <w:t>b/ K odstranění nedostatků a k tomu, aby se podobné nedostatky již v budoucnu neopakovaly, přijímá zastupitelstvo tato opatření:</w:t>
      </w:r>
    </w:p>
    <w:p w:rsidR="00E74F4E" w:rsidRPr="004A78A7" w:rsidRDefault="00FA5ACD" w:rsidP="003B0056">
      <w:pPr>
        <w:rPr>
          <w:b/>
        </w:rPr>
      </w:pPr>
      <w:r w:rsidRPr="004A78A7">
        <w:rPr>
          <w:b/>
        </w:rPr>
        <w:t>Územní celek vytvoří analytické účty, pro majetek zatížený zástavním právem – Termín prosinec 2017</w:t>
      </w:r>
    </w:p>
    <w:p w:rsidR="00FA5ACD" w:rsidRPr="004A78A7" w:rsidRDefault="00FA5ACD" w:rsidP="003B0056">
      <w:pPr>
        <w:rPr>
          <w:b/>
        </w:rPr>
      </w:pPr>
      <w:r w:rsidRPr="004A78A7">
        <w:rPr>
          <w:b/>
        </w:rPr>
        <w:t>Územní celek schválí odpisový plán</w:t>
      </w:r>
      <w:r w:rsidR="005C1B71" w:rsidRPr="004A78A7">
        <w:rPr>
          <w:b/>
        </w:rPr>
        <w:t xml:space="preserve"> a příslušné směrnice týkající se </w:t>
      </w:r>
      <w:r w:rsidRPr="004A78A7">
        <w:rPr>
          <w:b/>
        </w:rPr>
        <w:t>dlouhodobého majetku včetně odpisového plánu pro příspěvkovou organizaci zřízené obcí – Termín prosinec 2017</w:t>
      </w:r>
    </w:p>
    <w:p w:rsidR="00FA5ACD" w:rsidRPr="004A78A7" w:rsidRDefault="00FA5ACD" w:rsidP="003B0056">
      <w:pPr>
        <w:rPr>
          <w:b/>
        </w:rPr>
      </w:pPr>
      <w:r w:rsidRPr="004A78A7">
        <w:rPr>
          <w:b/>
        </w:rPr>
        <w:t>Vyřazené položky dlouhodobého majetku (vysokotlaký plynovod, středotlaký plynovod v pořizovací ceně celkem 14 758 200,- Kč) – budou doplněny o dokumentaci týkající se jejich předání v</w:t>
      </w:r>
      <w:r w:rsidR="00A52534" w:rsidRPr="004A78A7">
        <w:rPr>
          <w:b/>
        </w:rPr>
        <w:t> </w:t>
      </w:r>
      <w:r w:rsidRPr="004A78A7">
        <w:rPr>
          <w:b/>
        </w:rPr>
        <w:t>minulosti</w:t>
      </w:r>
      <w:r w:rsidR="00A52534" w:rsidRPr="004A78A7">
        <w:rPr>
          <w:b/>
        </w:rPr>
        <w:t>,</w:t>
      </w:r>
      <w:r w:rsidRPr="004A78A7">
        <w:rPr>
          <w:b/>
        </w:rPr>
        <w:t xml:space="preserve"> (Dokumentace ze stavebního úřadu, </w:t>
      </w:r>
      <w:r w:rsidR="005C1B71" w:rsidRPr="004A78A7">
        <w:rPr>
          <w:b/>
        </w:rPr>
        <w:t>katastrálního úřadu popřípadě z archivu současného vlastníka a provozovatele) – Termín listopad 2017</w:t>
      </w:r>
    </w:p>
    <w:p w:rsidR="005C1B71" w:rsidRPr="004A78A7" w:rsidRDefault="005C1B71" w:rsidP="003B0056">
      <w:pPr>
        <w:rPr>
          <w:b/>
        </w:rPr>
      </w:pPr>
      <w:r w:rsidRPr="004A78A7">
        <w:rPr>
          <w:b/>
        </w:rPr>
        <w:t xml:space="preserve">Starosta obce písemně doloží usnesení ZO o schválení paušální náhrady spotřebovaných pohonných hmot do konce září 2017, v případě nedoložení výše uvedeného dokumentu dojde k navrácení vyplacené částky ve výši 32.701,- Kč do pokladny do konce roku 2017. </w:t>
      </w:r>
    </w:p>
    <w:p w:rsidR="005C1B71" w:rsidRPr="004A78A7" w:rsidRDefault="005C1B71" w:rsidP="00975B04">
      <w:pPr>
        <w:pStyle w:val="Default"/>
        <w:rPr>
          <w:rFonts w:asciiTheme="minorHAnsi" w:hAnsiTheme="minorHAnsi" w:cstheme="minorBidi"/>
          <w:b/>
          <w:color w:val="auto"/>
          <w:sz w:val="22"/>
          <w:szCs w:val="22"/>
        </w:rPr>
      </w:pPr>
      <w:r w:rsidRPr="004A78A7">
        <w:rPr>
          <w:rFonts w:asciiTheme="minorHAnsi" w:hAnsiTheme="minorHAnsi" w:cstheme="minorBidi"/>
          <w:b/>
          <w:color w:val="auto"/>
          <w:sz w:val="22"/>
          <w:szCs w:val="22"/>
        </w:rPr>
        <w:t xml:space="preserve">Účetní doklady, které nebyly průkazné </w:t>
      </w:r>
      <w:r w:rsidR="00975B04" w:rsidRPr="004A78A7">
        <w:rPr>
          <w:rFonts w:asciiTheme="minorHAnsi" w:hAnsiTheme="minorHAnsi" w:cstheme="minorBidi"/>
          <w:b/>
          <w:color w:val="auto"/>
          <w:sz w:val="22"/>
          <w:szCs w:val="22"/>
        </w:rPr>
        <w:t>–</w:t>
      </w:r>
      <w:r w:rsidRPr="004A78A7">
        <w:rPr>
          <w:rFonts w:asciiTheme="minorHAnsi" w:hAnsiTheme="minorHAnsi" w:cstheme="minorBidi"/>
          <w:b/>
          <w:color w:val="auto"/>
          <w:sz w:val="22"/>
          <w:szCs w:val="22"/>
        </w:rPr>
        <w:t xml:space="preserve"> </w:t>
      </w:r>
      <w:r w:rsidR="00975B04" w:rsidRPr="004A78A7">
        <w:rPr>
          <w:rFonts w:asciiTheme="minorHAnsi" w:hAnsiTheme="minorHAnsi" w:cstheme="minorBidi"/>
          <w:b/>
          <w:color w:val="auto"/>
          <w:sz w:val="22"/>
          <w:szCs w:val="22"/>
        </w:rPr>
        <w:t>územní celek přijme taková opatření týkající se zajištění vnitřního kontrolního systému, aby se již nevyskytovali účetní doklady bez podkladů pro jejich zúčtování – Termín srpen 2017</w:t>
      </w:r>
    </w:p>
    <w:p w:rsidR="00975B04" w:rsidRPr="004A78A7" w:rsidRDefault="00975B04" w:rsidP="00975B04">
      <w:pPr>
        <w:pStyle w:val="Default"/>
        <w:rPr>
          <w:b/>
          <w:sz w:val="22"/>
          <w:szCs w:val="22"/>
        </w:rPr>
      </w:pPr>
    </w:p>
    <w:p w:rsidR="00975B04" w:rsidRPr="004A78A7" w:rsidRDefault="00975B04" w:rsidP="00975B04">
      <w:pPr>
        <w:rPr>
          <w:b/>
        </w:rPr>
      </w:pPr>
      <w:r w:rsidRPr="004A78A7">
        <w:rPr>
          <w:b/>
        </w:rPr>
        <w:t xml:space="preserve">Územní celek již řádně pro následující účetní období sestaví plán inventur, provede řádnou fyzickou inventuru majetku a dále následně sestaví inventarizační zprávu pro rok 2017. </w:t>
      </w:r>
      <w:r w:rsidR="00A52534" w:rsidRPr="004A78A7">
        <w:rPr>
          <w:b/>
        </w:rPr>
        <w:t xml:space="preserve">- </w:t>
      </w:r>
      <w:r w:rsidRPr="004A78A7">
        <w:rPr>
          <w:b/>
        </w:rPr>
        <w:t xml:space="preserve">Termín prosinec 2017. </w:t>
      </w:r>
    </w:p>
    <w:p w:rsidR="00975B04" w:rsidRPr="004A78A7" w:rsidRDefault="00975B04" w:rsidP="00975B04">
      <w:pPr>
        <w:rPr>
          <w:b/>
        </w:rPr>
      </w:pPr>
      <w:r w:rsidRPr="004A78A7">
        <w:rPr>
          <w:b/>
        </w:rPr>
        <w:t>Územní celek bude účtovat k okamžiku uskutečnění účetního případu.</w:t>
      </w:r>
      <w:r w:rsidR="00A52534" w:rsidRPr="004A78A7">
        <w:rPr>
          <w:b/>
        </w:rPr>
        <w:t xml:space="preserve"> - </w:t>
      </w:r>
      <w:r w:rsidRPr="004A78A7">
        <w:rPr>
          <w:b/>
        </w:rPr>
        <w:t>Termín Srpen 2017</w:t>
      </w:r>
    </w:p>
    <w:p w:rsidR="00975B04" w:rsidRPr="004A78A7" w:rsidRDefault="00975B04" w:rsidP="00975B04">
      <w:pPr>
        <w:rPr>
          <w:b/>
        </w:rPr>
      </w:pPr>
      <w:r w:rsidRPr="004A78A7">
        <w:rPr>
          <w:b/>
        </w:rPr>
        <w:t>Obec bude účtovat předpisy na pohledávky za nájemné a poplatky.</w:t>
      </w:r>
      <w:r w:rsidR="00A52534" w:rsidRPr="004A78A7">
        <w:rPr>
          <w:b/>
        </w:rPr>
        <w:t xml:space="preserve"> - </w:t>
      </w:r>
      <w:r w:rsidRPr="004A78A7">
        <w:rPr>
          <w:b/>
        </w:rPr>
        <w:t>Termín Srpen 2017</w:t>
      </w:r>
    </w:p>
    <w:p w:rsidR="00A52534" w:rsidRPr="004A78A7" w:rsidRDefault="00975B04" w:rsidP="00975B04">
      <w:pPr>
        <w:rPr>
          <w:b/>
        </w:rPr>
      </w:pPr>
      <w:r w:rsidRPr="004A78A7">
        <w:rPr>
          <w:b/>
        </w:rPr>
        <w:t>Obec bude účtovat při pořízení drobného dlouhodobého majetk</w:t>
      </w:r>
      <w:r w:rsidR="00A52534" w:rsidRPr="004A78A7">
        <w:rPr>
          <w:b/>
        </w:rPr>
        <w:t xml:space="preserve">u v souladu s ČÚS č. 710 bude </w:t>
      </w:r>
      <w:r w:rsidRPr="004A78A7">
        <w:rPr>
          <w:b/>
        </w:rPr>
        <w:t>použit účet 558 - Náklady z drobného dlouhodobého majetku.</w:t>
      </w:r>
    </w:p>
    <w:p w:rsidR="00975B04" w:rsidRPr="004A78A7" w:rsidRDefault="00A52534" w:rsidP="00975B04">
      <w:pPr>
        <w:rPr>
          <w:b/>
        </w:rPr>
      </w:pPr>
      <w:r w:rsidRPr="004A78A7">
        <w:rPr>
          <w:b/>
        </w:rPr>
        <w:t xml:space="preserve">- </w:t>
      </w:r>
      <w:r w:rsidR="00975B04" w:rsidRPr="004A78A7">
        <w:rPr>
          <w:b/>
        </w:rPr>
        <w:t xml:space="preserve">Termín prosinec 2017. </w:t>
      </w:r>
    </w:p>
    <w:p w:rsidR="00975B04" w:rsidRPr="004A78A7" w:rsidRDefault="00975B04" w:rsidP="00975B04">
      <w:pPr>
        <w:rPr>
          <w:b/>
        </w:rPr>
      </w:pPr>
      <w:r w:rsidRPr="004A78A7">
        <w:rPr>
          <w:b/>
        </w:rPr>
        <w:t>Fi</w:t>
      </w:r>
      <w:r w:rsidR="00A52534" w:rsidRPr="004A78A7">
        <w:rPr>
          <w:b/>
        </w:rPr>
        <w:t xml:space="preserve">nanční výkaz FIN 2 -12, </w:t>
      </w:r>
      <w:r w:rsidRPr="004A78A7">
        <w:rPr>
          <w:b/>
        </w:rPr>
        <w:t>bude sestaven v rozsahu daném přílohou č. 6 vyhlášky. Rozpočtové opatření budou vždy schválena ZO</w:t>
      </w:r>
      <w:r w:rsidR="00A52534" w:rsidRPr="004A78A7">
        <w:rPr>
          <w:b/>
        </w:rPr>
        <w:t xml:space="preserve"> a nebude docházet k přesunům</w:t>
      </w:r>
      <w:r w:rsidRPr="004A78A7">
        <w:rPr>
          <w:b/>
        </w:rPr>
        <w:t xml:space="preserve"> prostředků mezi 5 paragrafy, které jsou stanoveny jako závazné ukazatele rozpočtu</w:t>
      </w:r>
      <w:r w:rsidR="00A52534" w:rsidRPr="004A78A7">
        <w:rPr>
          <w:b/>
        </w:rPr>
        <w:t xml:space="preserve">. - Termín srpen 2017. </w:t>
      </w:r>
    </w:p>
    <w:p w:rsidR="003B0056" w:rsidRPr="004A78A7" w:rsidRDefault="003B0056" w:rsidP="003B0056">
      <w:pPr>
        <w:rPr>
          <w:b/>
        </w:rPr>
      </w:pPr>
      <w:r w:rsidRPr="004A78A7">
        <w:rPr>
          <w:b/>
        </w:rPr>
        <w:t>c/ Kontrola účinnosti přij</w:t>
      </w:r>
      <w:r w:rsidR="00E74F4E" w:rsidRPr="004A78A7">
        <w:rPr>
          <w:b/>
        </w:rPr>
        <w:t>atých opatření bude provedena v prosinci roku 2017.</w:t>
      </w:r>
    </w:p>
    <w:p w:rsidR="003B0056" w:rsidRPr="00931E7D" w:rsidRDefault="003B0056" w:rsidP="003B0056"/>
    <w:p w:rsidR="003B0056" w:rsidRPr="00931E7D" w:rsidRDefault="003B0056" w:rsidP="003B0056">
      <w:r w:rsidRPr="00931E7D">
        <w:t>vyvěšeno: …………………..</w:t>
      </w:r>
    </w:p>
    <w:p w:rsidR="003B0056" w:rsidRPr="00931E7D" w:rsidRDefault="003B0056" w:rsidP="003B0056"/>
    <w:p w:rsidR="003B0056" w:rsidRPr="00931E7D" w:rsidRDefault="003B0056" w:rsidP="003B0056">
      <w:r w:rsidRPr="00931E7D">
        <w:t>sejmuto:   …………………...</w:t>
      </w:r>
    </w:p>
    <w:p w:rsidR="003B0056" w:rsidRPr="00931E7D" w:rsidRDefault="003B0056" w:rsidP="003B0056">
      <w:r w:rsidRPr="00931E7D">
        <w:t>.-----------------------------------------------------------------------------------…..----------------------------------------------------------.</w:t>
      </w:r>
    </w:p>
    <w:p w:rsidR="003B0056" w:rsidRPr="00931E7D" w:rsidRDefault="003B0056" w:rsidP="00931E7D">
      <w:r w:rsidRPr="00931E7D">
        <w:t>Další přílohy, tvořící závěrečný účet, které z důvodu rozsahu nejsou vyvěšovány na úřední desce, ale jsou k dispozici v sídle obecního úřadu:</w:t>
      </w:r>
    </w:p>
    <w:p w:rsidR="003B0056" w:rsidRPr="00931E7D" w:rsidRDefault="003B0056" w:rsidP="00931E7D">
      <w:pPr>
        <w:pStyle w:val="Odstavecseseznamem"/>
        <w:numPr>
          <w:ilvl w:val="0"/>
          <w:numId w:val="2"/>
        </w:numPr>
      </w:pPr>
      <w:r w:rsidRPr="00931E7D">
        <w:t xml:space="preserve">účetní výkazy Rozvaha, Výkaz zisku a ztráty, Příloha k účetní závěrce a výkaz FIN 2-12, </w:t>
      </w:r>
    </w:p>
    <w:p w:rsidR="003B0056" w:rsidRPr="00931E7D" w:rsidRDefault="003B0056" w:rsidP="00931E7D">
      <w:pPr>
        <w:pStyle w:val="Odstavecseseznamem"/>
        <w:numPr>
          <w:ilvl w:val="0"/>
          <w:numId w:val="2"/>
        </w:numPr>
      </w:pPr>
      <w:r w:rsidRPr="00931E7D">
        <w:t>zpráva o výsledku přezkoumání hospodaření</w:t>
      </w:r>
    </w:p>
    <w:p w:rsidR="003B0056" w:rsidRPr="00931E7D" w:rsidRDefault="003B0056" w:rsidP="00931E7D">
      <w:pPr>
        <w:pStyle w:val="Odstavecseseznamem"/>
        <w:numPr>
          <w:ilvl w:val="0"/>
          <w:numId w:val="2"/>
        </w:numPr>
      </w:pPr>
      <w:r w:rsidRPr="00931E7D">
        <w:t>účetní výkazy obcí zřízených a založených právnických osob</w:t>
      </w:r>
    </w:p>
    <w:p w:rsidR="001C39BF" w:rsidRPr="001C39BF" w:rsidRDefault="001C39BF" w:rsidP="001C39BF">
      <w:pPr>
        <w:pStyle w:val="Default"/>
      </w:pPr>
    </w:p>
    <w:sectPr w:rsidR="001C39BF" w:rsidRPr="001C39BF" w:rsidSect="00475B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 Pro">
    <w:altName w:val="Cambria"/>
    <w:panose1 w:val="00000000000000000000"/>
    <w:charset w:val="EE"/>
    <w:family w:val="roman"/>
    <w:notTrueType/>
    <w:pitch w:val="default"/>
    <w:sig w:usb0="00000003" w:usb1="00000000" w:usb2="00000000" w:usb3="00000000" w:csb0="00000003" w:csb1="00000000"/>
  </w:font>
  <w:font w:name="Myriad Pro">
    <w:altName w:val="Arial"/>
    <w:panose1 w:val="00000000000000000000"/>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8133A"/>
    <w:multiLevelType w:val="hybridMultilevel"/>
    <w:tmpl w:val="85766A7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16B6517"/>
    <w:multiLevelType w:val="hybridMultilevel"/>
    <w:tmpl w:val="E2FC6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2C"/>
    <w:rsid w:val="000B47AE"/>
    <w:rsid w:val="00131483"/>
    <w:rsid w:val="001421DF"/>
    <w:rsid w:val="00162BCB"/>
    <w:rsid w:val="001C39BF"/>
    <w:rsid w:val="00277EC7"/>
    <w:rsid w:val="002A26C8"/>
    <w:rsid w:val="002A79B5"/>
    <w:rsid w:val="002B2B3F"/>
    <w:rsid w:val="002B51DB"/>
    <w:rsid w:val="00341062"/>
    <w:rsid w:val="003448EF"/>
    <w:rsid w:val="003928D8"/>
    <w:rsid w:val="003A6ED1"/>
    <w:rsid w:val="003B0056"/>
    <w:rsid w:val="003E262C"/>
    <w:rsid w:val="003E6818"/>
    <w:rsid w:val="004004FF"/>
    <w:rsid w:val="0042646C"/>
    <w:rsid w:val="00475BD3"/>
    <w:rsid w:val="004A78A7"/>
    <w:rsid w:val="00532DA3"/>
    <w:rsid w:val="00556CBF"/>
    <w:rsid w:val="0056271F"/>
    <w:rsid w:val="005C1B71"/>
    <w:rsid w:val="005D2C05"/>
    <w:rsid w:val="00603215"/>
    <w:rsid w:val="00612993"/>
    <w:rsid w:val="007F1AAB"/>
    <w:rsid w:val="00875C2B"/>
    <w:rsid w:val="00914CA4"/>
    <w:rsid w:val="00931E7D"/>
    <w:rsid w:val="00975B04"/>
    <w:rsid w:val="009947A2"/>
    <w:rsid w:val="00A03757"/>
    <w:rsid w:val="00A1701B"/>
    <w:rsid w:val="00A22731"/>
    <w:rsid w:val="00A50BDA"/>
    <w:rsid w:val="00A52534"/>
    <w:rsid w:val="00A77E84"/>
    <w:rsid w:val="00A8262F"/>
    <w:rsid w:val="00B252E9"/>
    <w:rsid w:val="00B371CF"/>
    <w:rsid w:val="00B638B7"/>
    <w:rsid w:val="00BA037C"/>
    <w:rsid w:val="00D82076"/>
    <w:rsid w:val="00D95D16"/>
    <w:rsid w:val="00DA7EBD"/>
    <w:rsid w:val="00E74F4E"/>
    <w:rsid w:val="00FA2174"/>
    <w:rsid w:val="00FA5A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4A56674"/>
  <w15:docId w15:val="{C600B3F8-EBF1-44D7-BC33-AB8B94F5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9"/>
    <w:qFormat/>
    <w:rsid w:val="00975B04"/>
    <w:pPr>
      <w:keepNext/>
      <w:spacing w:before="240" w:after="60" w:line="240" w:lineRule="auto"/>
      <w:outlineLvl w:val="0"/>
    </w:pPr>
    <w:rPr>
      <w:rFonts w:ascii="Arial" w:eastAsia="Times New Roman" w:hAnsi="Arial" w:cs="Arial"/>
      <w:b/>
      <w:bCs/>
      <w:kern w:val="32"/>
      <w:sz w:val="32"/>
      <w:szCs w:val="32"/>
      <w:lang w:eastAsia="cs-CZ"/>
    </w:rPr>
  </w:style>
  <w:style w:type="paragraph" w:styleId="Nadpis3">
    <w:name w:val="heading 3"/>
    <w:basedOn w:val="Normln"/>
    <w:next w:val="Normln"/>
    <w:link w:val="Nadpis3Char"/>
    <w:uiPriority w:val="9"/>
    <w:semiHidden/>
    <w:unhideWhenUsed/>
    <w:qFormat/>
    <w:rsid w:val="00975B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262C"/>
    <w:pPr>
      <w:autoSpaceDE w:val="0"/>
      <w:autoSpaceDN w:val="0"/>
      <w:adjustRightInd w:val="0"/>
      <w:spacing w:after="0" w:line="240" w:lineRule="auto"/>
    </w:pPr>
    <w:rPr>
      <w:rFonts w:ascii="Minion Pro" w:hAnsi="Minion Pro" w:cs="Minion Pro"/>
      <w:color w:val="000000"/>
      <w:sz w:val="24"/>
      <w:szCs w:val="24"/>
    </w:rPr>
  </w:style>
  <w:style w:type="paragraph" w:customStyle="1" w:styleId="Pa13">
    <w:name w:val="Pa1+3"/>
    <w:basedOn w:val="Default"/>
    <w:next w:val="Default"/>
    <w:uiPriority w:val="99"/>
    <w:rsid w:val="003E262C"/>
    <w:pPr>
      <w:spacing w:line="221" w:lineRule="atLeast"/>
    </w:pPr>
    <w:rPr>
      <w:rFonts w:cstheme="minorBidi"/>
      <w:color w:val="auto"/>
    </w:rPr>
  </w:style>
  <w:style w:type="paragraph" w:customStyle="1" w:styleId="Pa63">
    <w:name w:val="Pa6+3"/>
    <w:basedOn w:val="Default"/>
    <w:next w:val="Default"/>
    <w:uiPriority w:val="99"/>
    <w:rsid w:val="003E262C"/>
    <w:pPr>
      <w:spacing w:line="221" w:lineRule="atLeast"/>
    </w:pPr>
    <w:rPr>
      <w:rFonts w:cstheme="minorBidi"/>
      <w:color w:val="auto"/>
    </w:rPr>
  </w:style>
  <w:style w:type="paragraph" w:customStyle="1" w:styleId="Pa182">
    <w:name w:val="Pa18+2"/>
    <w:basedOn w:val="Default"/>
    <w:next w:val="Default"/>
    <w:uiPriority w:val="99"/>
    <w:rsid w:val="003E262C"/>
    <w:pPr>
      <w:spacing w:line="241" w:lineRule="atLeast"/>
    </w:pPr>
    <w:rPr>
      <w:rFonts w:cstheme="minorBidi"/>
      <w:color w:val="auto"/>
    </w:rPr>
  </w:style>
  <w:style w:type="character" w:customStyle="1" w:styleId="A91">
    <w:name w:val="A9+1"/>
    <w:uiPriority w:val="99"/>
    <w:rsid w:val="001C39BF"/>
    <w:rPr>
      <w:rFonts w:cs="Minion Pro"/>
      <w:color w:val="000000"/>
      <w:sz w:val="22"/>
      <w:szCs w:val="22"/>
      <w:u w:val="single"/>
    </w:rPr>
  </w:style>
  <w:style w:type="paragraph" w:customStyle="1" w:styleId="Pa71">
    <w:name w:val="Pa7+1"/>
    <w:basedOn w:val="Default"/>
    <w:next w:val="Default"/>
    <w:uiPriority w:val="99"/>
    <w:rsid w:val="001C39BF"/>
    <w:pPr>
      <w:spacing w:line="221" w:lineRule="atLeast"/>
    </w:pPr>
    <w:rPr>
      <w:rFonts w:cstheme="minorBidi"/>
      <w:color w:val="auto"/>
    </w:rPr>
  </w:style>
  <w:style w:type="character" w:customStyle="1" w:styleId="A42">
    <w:name w:val="A4+2"/>
    <w:uiPriority w:val="99"/>
    <w:rsid w:val="001C39BF"/>
    <w:rPr>
      <w:rFonts w:cs="Minion Pro"/>
      <w:color w:val="000000"/>
      <w:sz w:val="20"/>
      <w:szCs w:val="20"/>
    </w:rPr>
  </w:style>
  <w:style w:type="paragraph" w:customStyle="1" w:styleId="Pa24">
    <w:name w:val="Pa24"/>
    <w:basedOn w:val="Default"/>
    <w:next w:val="Default"/>
    <w:uiPriority w:val="99"/>
    <w:rsid w:val="00D82076"/>
    <w:pPr>
      <w:spacing w:line="161" w:lineRule="atLeast"/>
    </w:pPr>
    <w:rPr>
      <w:rFonts w:ascii="Myriad Pro" w:hAnsi="Myriad Pro" w:cstheme="minorBidi"/>
      <w:color w:val="auto"/>
    </w:rPr>
  </w:style>
  <w:style w:type="paragraph" w:customStyle="1" w:styleId="Pa231">
    <w:name w:val="Pa23+1"/>
    <w:basedOn w:val="Default"/>
    <w:next w:val="Default"/>
    <w:uiPriority w:val="99"/>
    <w:rsid w:val="00D82076"/>
    <w:pPr>
      <w:spacing w:line="161" w:lineRule="atLeast"/>
    </w:pPr>
    <w:rPr>
      <w:rFonts w:ascii="Myriad Pro" w:hAnsi="Myriad Pro" w:cstheme="minorBidi"/>
      <w:color w:val="auto"/>
    </w:rPr>
  </w:style>
  <w:style w:type="character" w:customStyle="1" w:styleId="Nadpis1Char">
    <w:name w:val="Nadpis 1 Char"/>
    <w:basedOn w:val="Standardnpsmoodstavce"/>
    <w:link w:val="Nadpis1"/>
    <w:uiPriority w:val="99"/>
    <w:rsid w:val="00975B04"/>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uiPriority w:val="9"/>
    <w:semiHidden/>
    <w:rsid w:val="00975B04"/>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931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1730</Words>
  <Characters>10210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Vobrubova</dc:creator>
  <cp:lastModifiedBy>Podatelna</cp:lastModifiedBy>
  <cp:revision>2</cp:revision>
  <dcterms:created xsi:type="dcterms:W3CDTF">2017-07-03T13:07:00Z</dcterms:created>
  <dcterms:modified xsi:type="dcterms:W3CDTF">2017-07-03T13:07:00Z</dcterms:modified>
</cp:coreProperties>
</file>